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73"/>
        <w:tabs>
          <w:tab w:val="right" w:pos="9639"/>
        </w:tabs>
        <w:spacing w:after="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/>
          <w:b/>
          <w:sz w:val="24"/>
          <w:lang w:eastAsia="zh-CN"/>
        </w:rPr>
        <w:t xml:space="preserve"> RAN </w:t>
      </w:r>
      <w:r>
        <w:rPr>
          <w:b/>
          <w:sz w:val="24"/>
        </w:rPr>
        <w:t>WG</w:t>
      </w:r>
      <w:r>
        <w:rPr>
          <w:rFonts w:hint="eastAsia"/>
          <w:b/>
          <w:sz w:val="24"/>
          <w:lang w:eastAsia="zh-CN"/>
        </w:rPr>
        <w:t>4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/>
          <w:b/>
          <w:sz w:val="24"/>
          <w:lang w:eastAsia="zh-CN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sz w:val="24"/>
        </w:rPr>
        <w:t>R4-2</w:t>
      </w:r>
      <w:r>
        <w:rPr>
          <w:rFonts w:hint="eastAsia" w:eastAsia="宋体"/>
          <w:b/>
          <w:sz w:val="24"/>
          <w:lang w:val="en-US" w:eastAsia="zh-CN"/>
        </w:rPr>
        <w:t>411845</w:t>
      </w:r>
    </w:p>
    <w:p>
      <w:pPr>
        <w:pStyle w:val="73"/>
        <w:outlineLvl w:val="0"/>
        <w:rPr>
          <w:b/>
          <w:sz w:val="24"/>
        </w:rPr>
      </w:pPr>
      <w:r>
        <w:rPr>
          <w:rFonts w:hint="eastAsia" w:eastAsia="宋体" w:cs="Arial"/>
          <w:b/>
          <w:sz w:val="24"/>
          <w:szCs w:val="24"/>
          <w:lang w:val="en-US" w:eastAsia="zh-CN"/>
        </w:rPr>
        <w:t>Maastricht,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Netherlands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19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th–</w:t>
      </w:r>
      <w:r>
        <w:rPr>
          <w:rFonts w:hint="eastAsia" w:cs="Arial"/>
          <w:b/>
          <w:sz w:val="24"/>
          <w:szCs w:val="24"/>
          <w:lang w:val="en-US" w:eastAsia="zh-CN"/>
        </w:rPr>
        <w:t>23rd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 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Aug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 xml:space="preserve">, </w:t>
      </w:r>
      <w:r>
        <w:rPr>
          <w:rFonts w:hint="eastAsia" w:eastAsia="宋体" w:cs="Arial"/>
          <w:b/>
          <w:bCs/>
          <w:sz w:val="24"/>
          <w:lang w:eastAsia="zh-CN"/>
        </w:rPr>
        <w:t>202</w:t>
      </w:r>
      <w:r>
        <w:rPr>
          <w:rFonts w:hint="eastAsia" w:eastAsia="宋体" w:cs="Arial"/>
          <w:b/>
          <w:bCs/>
          <w:sz w:val="24"/>
          <w:lang w:val="en-US" w:eastAsia="zh-CN"/>
        </w:rPr>
        <w:t>4</w:t>
      </w:r>
    </w:p>
    <w:p>
      <w:pPr>
        <w:bidi w:val="0"/>
      </w:pP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en-US" w:eastAsia="zh-CN"/>
        </w:rPr>
        <w:t xml:space="preserve">Source: </w:t>
      </w:r>
      <w:r>
        <w:rPr>
          <w:rStyle w:val="60"/>
          <w:rFonts w:hint="eastAsia"/>
          <w:b/>
          <w:highlight w:val="none"/>
          <w:lang w:val="en-US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ZTE Corporation, Sanechips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bookmarkStart w:id="0" w:name="OLE_LINK14"/>
      <w:bookmarkStart w:id="1" w:name="OLE_LINK8"/>
      <w:r>
        <w:rPr>
          <w:rFonts w:hint="eastAsia" w:ascii="Arial" w:hAnsi="Arial"/>
          <w:b/>
          <w:sz w:val="24"/>
          <w:highlight w:val="none"/>
          <w:lang w:val="en-US" w:eastAsia="zh-CN"/>
        </w:rPr>
        <w:t>D</w:t>
      </w:r>
      <w:r>
        <w:rPr>
          <w:rStyle w:val="60"/>
          <w:rFonts w:hint="eastAsia"/>
          <w:b/>
          <w:highlight w:val="none"/>
          <w:lang w:val="pt-BR" w:eastAsia="zh-CN"/>
        </w:rPr>
        <w:t>iscussion on</w:t>
      </w:r>
      <w:bookmarkEnd w:id="0"/>
      <w:bookmarkEnd w:id="1"/>
      <w:r>
        <w:rPr>
          <w:rStyle w:val="60"/>
          <w:rFonts w:hint="eastAsia"/>
          <w:b/>
          <w:highlight w:val="none"/>
          <w:lang w:val="en-US" w:eastAsia="zh-CN"/>
        </w:rPr>
        <w:t xml:space="preserve"> system parameters and UE RF requirements for IoT-NTN S-band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default"/>
          <w:b/>
          <w:highlight w:val="none"/>
          <w:lang w:val="en-US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Agenda item: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7.18.2</w:t>
      </w:r>
    </w:p>
    <w:p>
      <w:pPr>
        <w:keepNext/>
        <w:keepLines/>
        <w:pageBreakBefore w:val="0"/>
        <w:widowControl/>
        <w:tabs>
          <w:tab w:val="left" w:pos="1985"/>
        </w:tabs>
        <w:kinsoku/>
        <w:wordWrap/>
        <w:overflowPunct/>
        <w:topLinePunct w:val="0"/>
        <w:autoSpaceDE/>
        <w:autoSpaceDN/>
        <w:bidi w:val="0"/>
        <w:adjustRightInd/>
        <w:spacing w:before="120" w:after="120"/>
        <w:textAlignment w:val="auto"/>
        <w:outlineLvl w:val="0"/>
        <w:rPr>
          <w:rStyle w:val="60"/>
          <w:rFonts w:hint="eastAsia"/>
          <w:b/>
          <w:highlight w:val="none"/>
          <w:lang w:val="pt-BR" w:eastAsia="zh-CN"/>
        </w:rPr>
      </w:pPr>
      <w:r>
        <w:rPr>
          <w:rStyle w:val="60"/>
          <w:rFonts w:hint="eastAsia"/>
          <w:b/>
          <w:highlight w:val="none"/>
          <w:lang w:val="pt-BR" w:eastAsia="zh-CN"/>
        </w:rPr>
        <w:t>Document for:</w:t>
      </w:r>
      <w:r>
        <w:rPr>
          <w:rStyle w:val="60"/>
          <w:rFonts w:hint="eastAsia"/>
          <w:b/>
          <w:highlight w:val="none"/>
          <w:lang w:val="pt-BR" w:eastAsia="zh-CN"/>
        </w:rPr>
        <w:tab/>
      </w:r>
      <w:r>
        <w:rPr>
          <w:rStyle w:val="60"/>
          <w:rFonts w:hint="eastAsia"/>
          <w:b/>
          <w:highlight w:val="none"/>
          <w:lang w:val="en-US" w:eastAsia="zh-CN"/>
        </w:rPr>
        <w:t>Approval</w:t>
      </w:r>
    </w:p>
    <w:p>
      <w:pPr>
        <w:keepNext/>
        <w:keepLines/>
        <w:pageBreakBefore w:val="0"/>
        <w:widowControl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1 Introduction</w:t>
      </w:r>
    </w:p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i w:val="0"/>
          <w:iCs w:val="0"/>
          <w:sz w:val="20"/>
          <w:szCs w:val="20"/>
          <w:lang w:val="en-US" w:eastAsia="zh-CN"/>
        </w:rPr>
        <w:t>In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RAN#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104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meeting, a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 new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Work Item [1]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was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approved on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introduction of IoT-NTN S-band with the following RAN4 objective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. In this contribution, we want to share some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>initial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 xml:space="preserve"> views </w:t>
      </w:r>
      <w:r>
        <w:rPr>
          <w:rFonts w:hint="eastAsia"/>
          <w:i w:val="0"/>
          <w:iCs w:val="0"/>
          <w:sz w:val="20"/>
          <w:szCs w:val="20"/>
          <w:lang w:val="en-US" w:eastAsia="zh-CN"/>
        </w:rPr>
        <w:t xml:space="preserve">about IoT-NTN S-band </w:t>
      </w:r>
      <w:r>
        <w:rPr>
          <w:rFonts w:hint="default"/>
          <w:i w:val="0"/>
          <w:iCs w:val="0"/>
          <w:sz w:val="20"/>
          <w:szCs w:val="20"/>
          <w:lang w:val="en-US" w:eastAsia="zh-CN"/>
        </w:rPr>
        <w:t>from system parameters and UE RF requirements perspective.</w:t>
      </w:r>
    </w:p>
    <w:tbl>
      <w:tblPr>
        <w:tblStyle w:val="24"/>
        <w:tblW w:w="10160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60" w:type="dxa"/>
          </w:tcPr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objective of the core part is to: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Specify a new E-UTRA NTN FDD band </w:t>
            </w:r>
            <w:r>
              <w:t>for NB-IoT/eMTC NTN operation</w:t>
            </w:r>
            <w:r>
              <w:rPr>
                <w:color w:val="000000"/>
              </w:rPr>
              <w:t>, with a UE transmitting at 2000 – 2020 MHz and SAN transmitting at 2180-2200 MHz;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</w:pPr>
            <w:r>
              <w:t>- Perform necessary co-existence analysis, for example UE-UE coexistence, for adjacent band per RAN4 scope;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ind w:left="810"/>
              <w:textAlignment w:val="baseline"/>
              <w:rPr>
                <w:color w:val="000000"/>
              </w:rPr>
            </w:pPr>
            <w:r>
              <w:t xml:space="preserve">- </w:t>
            </w:r>
            <w:r>
              <w:rPr>
                <w:color w:val="000000"/>
              </w:rPr>
              <w:t>Consider whether assumptions for coexistence should be re-evaluated for the NTN scenario;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Support UE Categories NB1, NB2, </w:t>
            </w:r>
            <w:sdt>
              <w:sdtPr>
                <w:tag w:val="goog_rdk_0"/>
                <w:id w:val="1636913307"/>
              </w:sdtPr>
              <w:sdtContent/>
            </w:sdt>
            <w:r>
              <w:rPr>
                <w:color w:val="000000"/>
              </w:rPr>
              <w:t>M1;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 xml:space="preserve">Support UE Power Class 3 (+23dBm) and Power Class 5 (+20dBm); 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SAN and UE RF core requirements;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568" w:hanging="284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-</w:t>
            </w:r>
            <w:r>
              <w:rPr>
                <w:color w:val="000000"/>
              </w:rPr>
              <w:tab/>
            </w:r>
            <w:r>
              <w:rPr>
                <w:color w:val="000000"/>
              </w:rPr>
              <w:t>Introduce the corresponding RRM requirements.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The specification work of this WI shall leverage the studies and requirements for NR/LTE NTN n256/B256, n255/B255, n254/B254, where applicable.</w:t>
            </w:r>
          </w:p>
          <w:p>
            <w:p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overflowPunct w:val="0"/>
              <w:autoSpaceDE w:val="0"/>
              <w:autoSpaceDN w:val="0"/>
              <w:adjustRightInd w:val="0"/>
              <w:spacing w:after="180"/>
              <w:ind w:left="270" w:firstLine="13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All UE requirements specified as part of this WI shall be Release-independent from Rel-17.</w:t>
            </w:r>
          </w:p>
          <w:p>
            <w:pPr>
              <w:pStyle w:val="34"/>
              <w:overflowPunct/>
              <w:autoSpaceDE/>
              <w:autoSpaceDN/>
              <w:adjustRightInd/>
              <w:spacing w:before="0" w:beforeAutospacing="0" w:after="160" w:afterAutospacing="0" w:line="259" w:lineRule="auto"/>
              <w:ind w:left="360"/>
              <w:contextualSpacing/>
              <w:jc w:val="both"/>
              <w:textAlignment w:val="auto"/>
              <w:rPr>
                <w:rFonts w:hint="default" w:eastAsia="宋体"/>
                <w:i w:val="0"/>
                <w:iCs w:val="0"/>
                <w:sz w:val="20"/>
                <w:szCs w:val="20"/>
                <w:vertAlign w:val="baseline"/>
                <w:lang w:val="en-US" w:eastAsia="zh-CN"/>
              </w:rPr>
            </w:pPr>
          </w:p>
        </w:tc>
      </w:tr>
    </w:tbl>
    <w:p>
      <w:pPr>
        <w:keepNext/>
        <w:keepLines/>
        <w:pageBreakBefore w:val="0"/>
        <w:widowControl/>
        <w:numPr>
          <w:ilvl w:val="-1"/>
          <w:numId w:val="0"/>
        </w:numPr>
        <w:kinsoku/>
        <w:wordWrap/>
        <w:overflowPunct w:val="0"/>
        <w:topLinePunct w:val="0"/>
        <w:autoSpaceDE w:val="0"/>
        <w:autoSpaceDN w:val="0"/>
        <w:bidi w:val="0"/>
        <w:adjustRightInd w:val="0"/>
        <w:spacing w:before="120" w:line="240" w:lineRule="auto"/>
        <w:ind w:left="0" w:firstLine="0"/>
        <w:textAlignment w:val="baseline"/>
        <w:rPr>
          <w:rFonts w:hint="default"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2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Discussion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2.1 Operating band and band numbering</w:t>
      </w:r>
    </w:p>
    <w:p>
      <w:pPr>
        <w:rPr>
          <w:rFonts w:hint="default" w:cs="Times New Roman"/>
          <w:b w:val="0"/>
          <w:kern w:val="2"/>
          <w:sz w:val="20"/>
          <w:szCs w:val="20"/>
          <w:lang w:val="en-US" w:eastAsia="zh-CN" w:bidi="ar-SA"/>
        </w:rPr>
      </w:pP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 xml:space="preserve">This WID is to introduce a new E-UTRA NTN FDD band for NB-IoT/eMTC NTN operation, with a UE transmitting at 2000 - 2020 MHz and SAN transmitting at 2180 - 2200 MHz. For the band number, RAN4 has defined a principle of </w:t>
      </w:r>
      <w:r>
        <w:rPr>
          <w:sz w:val="20"/>
          <w:szCs w:val="20"/>
        </w:rPr>
        <w:t>“first come first served”</w:t>
      </w:r>
      <w:r>
        <w:rPr>
          <w:rFonts w:hint="eastAsia" w:cs="Times New Roman"/>
          <w:b w:val="0"/>
          <w:kern w:val="2"/>
          <w:sz w:val="20"/>
          <w:szCs w:val="20"/>
          <w:lang w:val="en-US" w:eastAsia="zh-CN" w:bidi="ar-SA"/>
        </w:rPr>
        <w:t>, and the corresponding operating band and band number can be defined as Table 2.1-1. In addition, it supports UE categories NB1, NB2, M1.</w:t>
      </w:r>
    </w:p>
    <w:p>
      <w:pPr>
        <w:jc w:val="center"/>
        <w:rPr>
          <w:rFonts w:hint="eastAsia" w:eastAsia="宋体"/>
          <w:b/>
          <w:bCs/>
          <w:szCs w:val="22"/>
          <w:lang w:eastAsia="zh-CN"/>
        </w:rPr>
      </w:pPr>
      <w:r>
        <w:rPr>
          <w:rFonts w:hint="eastAsia" w:eastAsia="宋体"/>
          <w:b/>
          <w:bCs/>
          <w:szCs w:val="22"/>
          <w:lang w:eastAsia="zh-CN"/>
        </w:rPr>
        <w:drawing>
          <wp:inline distT="0" distB="0" distL="114300" distR="114300">
            <wp:extent cx="6133465" cy="3451225"/>
            <wp:effectExtent l="0" t="0" r="0" b="8255"/>
            <wp:docPr id="1" name="图片 1" descr="S BA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S BAND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133465" cy="345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  <w:rPr>
          <w:rFonts w:hint="default"/>
          <w:b/>
          <w:bCs/>
          <w:szCs w:val="22"/>
          <w:lang w:val="en-US"/>
        </w:rPr>
      </w:pPr>
      <w:r>
        <w:rPr>
          <w:b/>
          <w:bCs/>
          <w:szCs w:val="22"/>
        </w:rPr>
        <w:t xml:space="preserve">Figure </w:t>
      </w:r>
      <w:r>
        <w:rPr>
          <w:rFonts w:hint="eastAsia"/>
          <w:b/>
          <w:bCs/>
          <w:szCs w:val="22"/>
          <w:lang w:val="en-US" w:eastAsia="zh-CN"/>
        </w:rPr>
        <w:t>2.1-1: New E-UTRA NTN FDD band with UL at 2000 - 2020 MHz and DL at 2180 - 2200 MHz</w:t>
      </w:r>
    </w:p>
    <w:p>
      <w:pPr>
        <w:pStyle w:val="56"/>
        <w:rPr>
          <w:rFonts w:hint="eastAsia"/>
          <w:lang w:val="en-US"/>
        </w:rPr>
      </w:pPr>
      <w:r>
        <w:t xml:space="preserve">Table </w:t>
      </w:r>
      <w:r>
        <w:rPr>
          <w:rFonts w:hint="eastAsia"/>
          <w:lang w:val="en-US" w:eastAsia="zh-CN"/>
        </w:rPr>
        <w:t>2.1</w:t>
      </w:r>
      <w:r>
        <w:t xml:space="preserve">-1: </w:t>
      </w:r>
      <w:r>
        <w:rPr>
          <w:rFonts w:hint="eastAsia"/>
          <w:lang w:val="en-US"/>
        </w:rPr>
        <w:t>E-UTRA operating bands for satellite access</w:t>
      </w:r>
    </w:p>
    <w:tbl>
      <w:tblPr>
        <w:tblStyle w:val="23"/>
        <w:tblW w:w="809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UTRA Operating Band</w:t>
            </w: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BS receive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UE transmit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 xml:space="preserve">BS transmit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UE receive</w:t>
            </w: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  – 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 – 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[252]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0"/>
              <w:wordWrap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200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0"/>
            </w:pPr>
            <w:r>
              <w:t>21</w:t>
            </w:r>
            <w:r>
              <w:rPr>
                <w:rFonts w:hint="eastAsia"/>
                <w:lang w:val="en-US" w:eastAsia="zh-CN"/>
              </w:rPr>
              <w:t>8</w:t>
            </w:r>
            <w:r>
              <w:t>0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7"/>
            </w:pPr>
            <w:r>
              <w:t>–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2200 MHz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FDD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Operating band and band numbering for the new IoT-NTN FDD band can be defined as Table 2.1-1, and it supports UE categories NB1, NB2, M1. 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2.2 Channel raster</w:t>
      </w:r>
    </w:p>
    <w:p>
      <w:pPr>
        <w:rPr>
          <w:rFonts w:hint="default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Based on the definition of EARFCN for category M1, EARFCN for category M1 for IoT-NTN band [252] can be defined as follows.</w:t>
      </w:r>
    </w:p>
    <w:p>
      <w:pPr>
        <w:pStyle w:val="56"/>
        <w:rPr>
          <w:sz w:val="20"/>
          <w:szCs w:val="18"/>
        </w:rPr>
      </w:pPr>
      <w:r>
        <w:rPr>
          <w:sz w:val="20"/>
          <w:szCs w:val="18"/>
        </w:rPr>
        <w:t>Table 2.</w:t>
      </w:r>
      <w:r>
        <w:rPr>
          <w:rFonts w:hint="eastAsia"/>
          <w:sz w:val="20"/>
          <w:szCs w:val="18"/>
          <w:lang w:val="en-US" w:eastAsia="zh-CN"/>
        </w:rPr>
        <w:t>2</w:t>
      </w:r>
      <w:r>
        <w:rPr>
          <w:sz w:val="20"/>
          <w:szCs w:val="18"/>
        </w:rPr>
        <w:t>-</w:t>
      </w:r>
      <w:r>
        <w:rPr>
          <w:rFonts w:hint="eastAsia"/>
          <w:sz w:val="20"/>
          <w:szCs w:val="18"/>
          <w:lang w:val="en-US" w:eastAsia="zh-CN"/>
        </w:rPr>
        <w:t>1</w:t>
      </w:r>
      <w:r>
        <w:rPr>
          <w:sz w:val="20"/>
          <w:szCs w:val="18"/>
        </w:rPr>
        <w:t>: E-UTRA channel numbers</w:t>
      </w:r>
    </w:p>
    <w:tbl>
      <w:tblPr>
        <w:tblStyle w:val="23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55"/>
        <w:gridCol w:w="1134"/>
        <w:gridCol w:w="1134"/>
        <w:gridCol w:w="1701"/>
        <w:gridCol w:w="1134"/>
        <w:gridCol w:w="850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restart"/>
            <w:shd w:val="clear" w:color="auto" w:fill="auto"/>
            <w:vAlign w:val="bottom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E-UTRA Operating</w:t>
            </w:r>
          </w:p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55" w:type="dxa"/>
            <w:vMerge w:val="restart"/>
            <w:vAlign w:val="center"/>
          </w:tcPr>
          <w:p>
            <w:pPr>
              <w:pStyle w:val="65"/>
              <w:rPr>
                <w:rFonts w:cs="Arial"/>
              </w:rPr>
            </w:pPr>
            <w:r>
              <w:t>ΔF</w:t>
            </w:r>
            <w:r>
              <w:rPr>
                <w:vertAlign w:val="subscript"/>
              </w:rPr>
              <w:t>Raster</w:t>
            </w:r>
            <w:r>
              <w:t xml:space="preserve"> (kHz)</w:t>
            </w:r>
          </w:p>
        </w:tc>
        <w:tc>
          <w:tcPr>
            <w:tcW w:w="3969" w:type="dxa"/>
            <w:gridSpan w:val="3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Downlink</w:t>
            </w:r>
          </w:p>
        </w:tc>
        <w:tc>
          <w:tcPr>
            <w:tcW w:w="3540" w:type="dxa"/>
            <w:gridSpan w:val="3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continue"/>
            <w:shd w:val="clear" w:color="auto" w:fill="auto"/>
          </w:tcPr>
          <w:p>
            <w:pPr>
              <w:pStyle w:val="65"/>
              <w:rPr>
                <w:rFonts w:cs="Arial"/>
              </w:rPr>
            </w:pPr>
          </w:p>
        </w:tc>
        <w:tc>
          <w:tcPr>
            <w:tcW w:w="1055" w:type="dxa"/>
            <w:vMerge w:val="continue"/>
          </w:tcPr>
          <w:p>
            <w:pPr>
              <w:pStyle w:val="65"/>
              <w:rPr>
                <w:rFonts w:cs="Arial"/>
              </w:rPr>
            </w:pPr>
          </w:p>
        </w:tc>
        <w:tc>
          <w:tcPr>
            <w:tcW w:w="1134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(MHz)</w:t>
            </w:r>
          </w:p>
        </w:tc>
        <w:tc>
          <w:tcPr>
            <w:tcW w:w="1134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Offs-DL</w:t>
            </w:r>
          </w:p>
        </w:tc>
        <w:tc>
          <w:tcPr>
            <w:tcW w:w="1701" w:type="dxa"/>
          </w:tcPr>
          <w:p>
            <w:pPr>
              <w:pStyle w:val="65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Range of N</w:t>
            </w:r>
            <w:r>
              <w:rPr>
                <w:rFonts w:cs="Arial"/>
                <w:vertAlign w:val="subscript"/>
              </w:rPr>
              <w:t>DL</w:t>
            </w:r>
          </w:p>
          <w:p>
            <w:pPr>
              <w:pStyle w:val="65"/>
              <w:rPr>
                <w:rFonts w:cs="Arial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1134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UL_low </w:t>
            </w:r>
            <w:r>
              <w:rPr>
                <w:rFonts w:cs="Arial"/>
              </w:rPr>
              <w:t>(MHz)</w:t>
            </w:r>
          </w:p>
        </w:tc>
        <w:tc>
          <w:tcPr>
            <w:tcW w:w="850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Offs-UL</w:t>
            </w:r>
          </w:p>
        </w:tc>
        <w:tc>
          <w:tcPr>
            <w:tcW w:w="1556" w:type="dxa"/>
          </w:tcPr>
          <w:p>
            <w:pPr>
              <w:pStyle w:val="65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Range of N</w:t>
            </w:r>
            <w:r>
              <w:rPr>
                <w:rFonts w:cs="Arial"/>
                <w:vertAlign w:val="subscript"/>
              </w:rPr>
              <w:t>UL</w:t>
            </w:r>
          </w:p>
          <w:p>
            <w:pPr>
              <w:pStyle w:val="65"/>
              <w:rPr>
                <w:rFonts w:cs="Arial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</w:tcPr>
          <w:p>
            <w:pPr>
              <w:pStyle w:val="57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[</w:t>
            </w:r>
            <w:r>
              <w:rPr>
                <w:rFonts w:cs="Arial"/>
                <w:szCs w:val="18"/>
              </w:rPr>
              <w:t>25</w:t>
            </w:r>
            <w:r>
              <w:rPr>
                <w:rFonts w:hint="eastAsia" w:cs="Arial"/>
                <w:szCs w:val="18"/>
                <w:lang w:val="en-US" w:eastAsia="zh-CN"/>
              </w:rPr>
              <w:t>2]</w:t>
            </w:r>
          </w:p>
        </w:tc>
        <w:tc>
          <w:tcPr>
            <w:tcW w:w="1055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228301</w:t>
            </w:r>
          </w:p>
        </w:tc>
        <w:tc>
          <w:tcPr>
            <w:tcW w:w="1701" w:type="dxa"/>
          </w:tcPr>
          <w:p>
            <w:pPr>
              <w:pStyle w:val="57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228301</w:t>
            </w:r>
            <w:r>
              <w:rPr>
                <w:rFonts w:cs="Arial"/>
                <w:szCs w:val="18"/>
              </w:rPr>
              <w:t xml:space="preserve"> –&lt;1&gt;- </w:t>
            </w:r>
            <w:r>
              <w:rPr>
                <w:rFonts w:hint="eastAsia" w:cs="Arial"/>
                <w:szCs w:val="18"/>
                <w:lang w:val="en-US" w:eastAsia="zh-CN"/>
              </w:rPr>
              <w:t>228500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50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t>26</w:t>
            </w:r>
            <w:r>
              <w:rPr>
                <w:rFonts w:hint="eastAsia"/>
                <w:lang w:val="en-US" w:eastAsia="zh-CN"/>
              </w:rPr>
              <w:t>1069</w:t>
            </w:r>
          </w:p>
        </w:tc>
        <w:tc>
          <w:tcPr>
            <w:tcW w:w="1556" w:type="dxa"/>
          </w:tcPr>
          <w:p>
            <w:pPr>
              <w:pStyle w:val="57"/>
              <w:rPr>
                <w:rFonts w:hint="default" w:eastAsia="宋体"/>
                <w:szCs w:val="18"/>
                <w:lang w:val="en-US" w:eastAsia="zh-CN"/>
              </w:rPr>
            </w:pPr>
            <w:r>
              <w:t>26</w:t>
            </w:r>
            <w:r>
              <w:rPr>
                <w:rFonts w:hint="eastAsia"/>
                <w:lang w:val="en-US" w:eastAsia="zh-CN"/>
              </w:rPr>
              <w:t>1069</w:t>
            </w:r>
            <w:r>
              <w:rPr>
                <w:szCs w:val="18"/>
              </w:rPr>
              <w:t xml:space="preserve"> –&lt;1&gt;- </w:t>
            </w:r>
            <w:r>
              <w:rPr>
                <w:rFonts w:hint="eastAsia"/>
                <w:szCs w:val="18"/>
                <w:lang w:val="en-US" w:eastAsia="zh-CN"/>
              </w:rPr>
              <w:t>261268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2: EARFCN for category M1 for IoT-NTN band [252] can be defined as Table 2.2-1.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2.3 TX-RX frequency separation</w:t>
      </w:r>
    </w:p>
    <w:p>
      <w:pPr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For TX-RX frequency separation, similar as LTE band 23, which supports default UE TX-RX frequency separation of 180 MHz, it should be defined as 180 MHz for IoT-NTN band [252] as Table 2.3-1.</w:t>
      </w:r>
    </w:p>
    <w:p>
      <w:pPr>
        <w:pStyle w:val="56"/>
        <w:rPr>
          <w:sz w:val="20"/>
          <w:szCs w:val="18"/>
        </w:rPr>
      </w:pPr>
      <w:r>
        <w:rPr>
          <w:sz w:val="20"/>
          <w:szCs w:val="18"/>
        </w:rPr>
        <w:t xml:space="preserve">Table </w:t>
      </w:r>
      <w:r>
        <w:rPr>
          <w:rFonts w:hint="eastAsia"/>
          <w:sz w:val="20"/>
          <w:szCs w:val="18"/>
          <w:lang w:val="en-US" w:eastAsia="zh-CN"/>
        </w:rPr>
        <w:t>2.3</w:t>
      </w:r>
      <w:r>
        <w:rPr>
          <w:sz w:val="20"/>
          <w:szCs w:val="18"/>
        </w:rPr>
        <w:t xml:space="preserve">-1: </w:t>
      </w:r>
      <w:r>
        <w:rPr>
          <w:rFonts w:hint="eastAsia"/>
          <w:sz w:val="20"/>
          <w:szCs w:val="18"/>
        </w:rPr>
        <w:t>Default UE TX-RX frequency separation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pStyle w:val="65"/>
            </w:pPr>
            <w:r>
              <w:t>NTN Satellite Operating Band</w:t>
            </w:r>
          </w:p>
        </w:tc>
        <w:tc>
          <w:tcPr>
            <w:tcW w:w="2693" w:type="dxa"/>
          </w:tcPr>
          <w:p>
            <w:pPr>
              <w:pStyle w:val="65"/>
            </w:pPr>
            <w:r>
              <w:t xml:space="preserve">TX </w:t>
            </w:r>
            <w:r>
              <w:rPr>
                <w:rFonts w:cs="v5.0.0"/>
              </w:rPr>
              <w:t>–</w:t>
            </w:r>
            <w:r>
              <w:t xml:space="preserve"> RX </w:t>
            </w:r>
            <w:r>
              <w:br w:type="textWrapping"/>
            </w:r>
            <w:r>
              <w:t>carrier centre frequency</w:t>
            </w:r>
            <w:r>
              <w:br w:type="textWrapping"/>
            </w:r>
            <w: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/>
              </w:rPr>
              <w:t>25</w:t>
            </w:r>
            <w:r>
              <w:rPr>
                <w:rFonts w:hint="eastAsia"/>
                <w:lang w:val="en-US" w:eastAsia="zh-CN"/>
              </w:rPr>
              <w:t>2]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/>
              </w:rPr>
              <w:t>0 MHz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3: The default TX-RX frequency separation for IoT-NTN band [252] should be defined as Table 2.3-1.</w:t>
      </w:r>
    </w:p>
    <w:p>
      <w:pPr>
        <w:pStyle w:val="3"/>
        <w:keepNext/>
        <w:keepLines/>
        <w:pageBreakBefore w:val="0"/>
        <w:widowControl/>
        <w:numPr>
          <w:ilvl w:val="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120" w:afterLines="0" w:line="260" w:lineRule="auto"/>
        <w:ind w:leftChars="0" w:right="0" w:right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2.4 UE RF requirements</w:t>
      </w:r>
    </w:p>
    <w:p>
      <w:pPr>
        <w:bidi w:val="0"/>
        <w:rPr>
          <w:rFonts w:hint="eastAsia"/>
          <w:sz w:val="20"/>
          <w:szCs w:val="18"/>
          <w:lang w:val="en-US" w:eastAsia="zh-CN"/>
        </w:rPr>
      </w:pPr>
      <w:r>
        <w:rPr>
          <w:rFonts w:hint="eastAsia"/>
          <w:sz w:val="20"/>
          <w:szCs w:val="18"/>
          <w:lang w:val="en-US" w:eastAsia="zh-CN"/>
        </w:rPr>
        <w:t>The following UE RF requirements need to be defined for the new IoT-NTN S-band (MSS band 2000-2020 MHz UL and 2180-2200 MHz DL).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2.4-1 UE RF requirements for the new IoT-NTN S-band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4149"/>
        <w:gridCol w:w="565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the new new IoT-NTN S-band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6.2A.1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UE maximum output power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Support UE Power Class 3 (+23dBm) and Power Class 5 (+20dBm).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zh-CN" w:eastAsia="fi-FI" w:bidi="ar-SA"/>
              </w:rPr>
            </w:pPr>
            <w:bookmarkStart w:id="2" w:name="_Toc145029477"/>
            <w:bookmarkStart w:id="3" w:name="_Toc121827703"/>
            <w:bookmarkStart w:id="4" w:name="_Toc138894766"/>
            <w:bookmarkStart w:id="5" w:name="_Toc153136024"/>
            <w:bookmarkStart w:id="6" w:name="_Toc124177958"/>
            <w:bookmarkStart w:id="7" w:name="_Toc130826085"/>
            <w:bookmarkStart w:id="8" w:name="_Toc163214332"/>
            <w:bookmarkStart w:id="9" w:name="_Toc121162822"/>
            <w:bookmarkStart w:id="10" w:name="_Toc137386362"/>
            <w:bookmarkStart w:id="11" w:name="_Toc153138218"/>
            <w:bookmarkStart w:id="12" w:name="_Toc124177531"/>
            <w:bookmarkStart w:id="13" w:name="_Toc163213855"/>
            <w:bookmarkStart w:id="14" w:name="_Toc120570030"/>
            <w:bookmarkStart w:id="15" w:name="_Toc161928633"/>
            <w:bookmarkStart w:id="16" w:name="_Toc137401242"/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6.2B.1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  <w:t xml:space="preserve">UE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maximum output power for category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zh-CN" w:eastAsia="fi-FI" w:bidi="ar-SA"/>
              </w:rPr>
              <w:t>NB1 and NB2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  <w:bookmarkEnd w:id="16"/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6.2A.2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UE maximum output power reduction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</w:pPr>
            <w:bookmarkStart w:id="17" w:name="_Toc163213856"/>
            <w:bookmarkStart w:id="18" w:name="_Toc138894767"/>
            <w:bookmarkStart w:id="19" w:name="_Toc120570031"/>
            <w:bookmarkStart w:id="20" w:name="_Toc121827704"/>
            <w:bookmarkStart w:id="21" w:name="_Toc130826086"/>
            <w:bookmarkStart w:id="22" w:name="_Toc124177532"/>
            <w:bookmarkStart w:id="23" w:name="_Toc137401243"/>
            <w:bookmarkStart w:id="24" w:name="_Toc124177959"/>
            <w:bookmarkStart w:id="25" w:name="_Toc121162823"/>
            <w:bookmarkStart w:id="26" w:name="_Toc161928634"/>
            <w:bookmarkStart w:id="27" w:name="_Toc153138219"/>
            <w:bookmarkStart w:id="28" w:name="_Toc145029478"/>
            <w:bookmarkStart w:id="29" w:name="_Toc137386363"/>
            <w:bookmarkStart w:id="30" w:name="_Toc153136025"/>
            <w:bookmarkStart w:id="31" w:name="_Toc163214333"/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6.2B.2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UE m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  <w:t xml:space="preserve">aximum output power reduction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for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  <w:t>category NB1 and NB2</w:t>
            </w:r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9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hint="default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>A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.3 A-MPR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 for category M1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UE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A-MPR requirement for B23 can be reused for the new IoT-NTN S-band.</w:t>
            </w:r>
          </w:p>
          <w:p>
            <w:pPr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9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bookmarkStart w:id="32" w:name="_Toc153138220"/>
            <w:bookmarkStart w:id="33" w:name="_Toc124177533"/>
            <w:bookmarkStart w:id="34" w:name="_Toc153136026"/>
            <w:bookmarkStart w:id="35" w:name="_Toc121162824"/>
            <w:bookmarkStart w:id="36" w:name="_Toc137386364"/>
            <w:bookmarkStart w:id="37" w:name="_Toc121827705"/>
            <w:bookmarkStart w:id="38" w:name="_Toc163214334"/>
            <w:bookmarkStart w:id="39" w:name="_Toc138894768"/>
            <w:bookmarkStart w:id="40" w:name="_Toc130826087"/>
            <w:bookmarkStart w:id="41" w:name="_Toc163213857"/>
            <w:bookmarkStart w:id="42" w:name="_Toc124177960"/>
            <w:bookmarkStart w:id="43" w:name="_Toc137401244"/>
            <w:bookmarkStart w:id="44" w:name="_Toc120570032"/>
            <w:bookmarkStart w:id="45" w:name="_Toc145029479"/>
            <w:bookmarkStart w:id="46" w:name="_Toc161928635"/>
            <w:bookmarkStart w:id="47" w:name="_Toc163213853"/>
            <w:bookmarkStart w:id="48" w:name="_Toc137401240"/>
            <w:bookmarkStart w:id="49" w:name="_Toc163214330"/>
            <w:bookmarkStart w:id="50" w:name="_Toc121162820"/>
            <w:bookmarkStart w:id="51" w:name="_Toc120570028"/>
            <w:bookmarkStart w:id="52" w:name="_Toc137386360"/>
            <w:bookmarkStart w:id="53" w:name="_Toc130826083"/>
            <w:bookmarkStart w:id="54" w:name="_Toc124177529"/>
            <w:bookmarkStart w:id="55" w:name="_Toc161928631"/>
            <w:bookmarkStart w:id="56" w:name="_Toc153138216"/>
            <w:bookmarkStart w:id="57" w:name="_Toc121827701"/>
            <w:bookmarkStart w:id="58" w:name="_Toc153136022"/>
            <w:bookmarkStart w:id="59" w:name="_Toc124177956"/>
            <w:bookmarkStart w:id="60" w:name="_Toc138894764"/>
            <w:bookmarkStart w:id="61" w:name="_Toc145029475"/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6.2B.3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A-MPR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 for category NB1 and NB2 UE</w:t>
            </w:r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6.2A.4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Configured transmitted Power for category M1</w:t>
            </w:r>
            <w:bookmarkEnd w:id="47"/>
            <w:bookmarkEnd w:id="48"/>
            <w:bookmarkEnd w:id="49"/>
            <w:bookmarkEnd w:id="50"/>
            <w:bookmarkEnd w:id="51"/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bookmarkStart w:id="62" w:name="_Toc408323042"/>
            <w:bookmarkStart w:id="63" w:name="_Toc120570033"/>
            <w:bookmarkStart w:id="64" w:name="_Toc163213858"/>
            <w:bookmarkStart w:id="65" w:name="_Toc111062038"/>
            <w:bookmarkStart w:id="66" w:name="_Toc124177961"/>
            <w:bookmarkStart w:id="67" w:name="_Toc130826088"/>
            <w:bookmarkStart w:id="68" w:name="_Toc153138221"/>
            <w:bookmarkStart w:id="69" w:name="_Toc153136027"/>
            <w:bookmarkStart w:id="70" w:name="_Toc163214335"/>
            <w:bookmarkStart w:id="71" w:name="_Toc121827706"/>
            <w:bookmarkStart w:id="72" w:name="_Toc137386365"/>
            <w:bookmarkStart w:id="73" w:name="_Toc137401245"/>
            <w:bookmarkStart w:id="74" w:name="_Toc121162825"/>
            <w:bookmarkStart w:id="75" w:name="_Toc124177534"/>
            <w:bookmarkStart w:id="76" w:name="_Toc145029480"/>
            <w:bookmarkStart w:id="77" w:name="_Toc138894769"/>
            <w:bookmarkStart w:id="78" w:name="_Toc161928636"/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6.2B.4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Configured transmitted Power</w:t>
            </w:r>
            <w:bookmarkEnd w:id="62"/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 for category NB1 and NB2</w:t>
            </w:r>
            <w:bookmarkEnd w:id="63"/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  <w:bookmarkEnd w:id="76"/>
            <w:bookmarkEnd w:id="77"/>
            <w:bookmarkEnd w:id="78"/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6.3A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Output power dynamics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6.3B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Output power dynamics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79" w:name="_Toc130826101"/>
            <w:bookmarkStart w:id="80" w:name="_Toc153136040"/>
            <w:bookmarkStart w:id="81" w:name="_Toc161928649"/>
            <w:bookmarkStart w:id="82" w:name="_Toc121827719"/>
            <w:bookmarkStart w:id="83" w:name="_Toc138894782"/>
            <w:bookmarkStart w:id="84" w:name="_Toc124177974"/>
            <w:bookmarkStart w:id="85" w:name="_Toc120570046"/>
            <w:bookmarkStart w:id="86" w:name="_Toc124177547"/>
            <w:bookmarkStart w:id="87" w:name="_Toc153138234"/>
            <w:bookmarkStart w:id="88" w:name="_Toc137401258"/>
            <w:bookmarkStart w:id="89" w:name="_Toc163214348"/>
            <w:bookmarkStart w:id="90" w:name="_Toc145029493"/>
            <w:bookmarkStart w:id="91" w:name="_Toc121162838"/>
            <w:bookmarkStart w:id="92" w:name="_Toc137386378"/>
            <w:bookmarkStart w:id="93" w:name="_Toc16321387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6.4A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Transmit signal quality for category M1</w:t>
            </w:r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  <w:bookmarkEnd w:id="88"/>
            <w:bookmarkEnd w:id="89"/>
            <w:bookmarkEnd w:id="90"/>
            <w:bookmarkEnd w:id="91"/>
            <w:bookmarkEnd w:id="92"/>
            <w:bookmarkEnd w:id="93"/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94" w:name="_Toc121162841"/>
            <w:bookmarkStart w:id="95" w:name="_Toc161928652"/>
            <w:bookmarkStart w:id="96" w:name="_Toc137401261"/>
            <w:bookmarkStart w:id="97" w:name="_Toc153138237"/>
            <w:bookmarkStart w:id="98" w:name="_Toc138894785"/>
            <w:bookmarkStart w:id="99" w:name="_Toc145029496"/>
            <w:bookmarkStart w:id="100" w:name="_Toc163214351"/>
            <w:bookmarkStart w:id="101" w:name="_Toc137386381"/>
            <w:bookmarkStart w:id="102" w:name="_Toc124177977"/>
            <w:bookmarkStart w:id="103" w:name="_Toc153136043"/>
            <w:bookmarkStart w:id="104" w:name="_Toc163213874"/>
            <w:bookmarkStart w:id="105" w:name="_Toc121827722"/>
            <w:bookmarkStart w:id="106" w:name="_Toc130826104"/>
            <w:bookmarkStart w:id="107" w:name="_Toc120570049"/>
            <w:bookmarkStart w:id="108" w:name="_Toc12417755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Transmit signal quality for category NB1 and NB2</w:t>
            </w:r>
            <w:bookmarkEnd w:id="94"/>
            <w:bookmarkEnd w:id="95"/>
            <w:bookmarkEnd w:id="96"/>
            <w:bookmarkEnd w:id="97"/>
            <w:bookmarkEnd w:id="98"/>
            <w:bookmarkEnd w:id="99"/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109" w:name="_Toc153136049"/>
            <w:bookmarkStart w:id="110" w:name="_Toc121827728"/>
            <w:bookmarkStart w:id="111" w:name="_Toc137386387"/>
            <w:bookmarkStart w:id="112" w:name="_Toc124177983"/>
            <w:bookmarkStart w:id="113" w:name="_Toc138894791"/>
            <w:bookmarkStart w:id="114" w:name="_Toc130826110"/>
            <w:bookmarkStart w:id="115" w:name="_Toc145029502"/>
            <w:bookmarkStart w:id="116" w:name="_Toc121162847"/>
            <w:bookmarkStart w:id="117" w:name="_Toc124177556"/>
            <w:bookmarkStart w:id="118" w:name="_Toc137401267"/>
            <w:bookmarkStart w:id="119" w:name="_Toc120570055"/>
            <w:bookmarkStart w:id="120" w:name="_Toc163213880"/>
            <w:bookmarkStart w:id="121" w:name="_Toc161928658"/>
            <w:bookmarkStart w:id="122" w:name="_Toc163214357"/>
            <w:bookmarkStart w:id="123" w:name="_Toc153138243"/>
            <w:r>
              <w:t>6.5A.2</w:t>
            </w:r>
            <w:r>
              <w:tab/>
            </w:r>
            <w:r>
              <w:t>Occupied bandwidth for category M1</w:t>
            </w:r>
            <w:bookmarkEnd w:id="109"/>
            <w:bookmarkEnd w:id="110"/>
            <w:bookmarkEnd w:id="111"/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2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124" w:name="_Toc137401283"/>
            <w:bookmarkStart w:id="125" w:name="_Toc124177999"/>
            <w:bookmarkStart w:id="126" w:name="_Toc124177572"/>
            <w:bookmarkStart w:id="127" w:name="_Toc145029518"/>
            <w:bookmarkStart w:id="128" w:name="_Toc153136065"/>
            <w:bookmarkStart w:id="129" w:name="_Toc161928677"/>
            <w:bookmarkStart w:id="130" w:name="_Toc130826126"/>
            <w:bookmarkStart w:id="131" w:name="_Toc163214376"/>
            <w:bookmarkStart w:id="132" w:name="_Toc121827744"/>
            <w:bookmarkStart w:id="133" w:name="_Toc137386403"/>
            <w:bookmarkStart w:id="134" w:name="_Toc153138262"/>
            <w:bookmarkStart w:id="135" w:name="_Toc120570071"/>
            <w:bookmarkStart w:id="136" w:name="_Toc138894807"/>
            <w:bookmarkStart w:id="137" w:name="_Toc163213899"/>
            <w:bookmarkStart w:id="138" w:name="_Toc121162863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zh-TW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Occupied bandwidth for category NB1 and NB2</w:t>
            </w:r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  <w:bookmarkEnd w:id="136"/>
            <w:bookmarkEnd w:id="137"/>
            <w:bookmarkEnd w:id="138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139" w:name="_Toc137401270"/>
            <w:bookmarkStart w:id="140" w:name="_Toc137386390"/>
            <w:bookmarkStart w:id="141" w:name="_Toc163213883"/>
            <w:bookmarkStart w:id="142" w:name="_Toc120570058"/>
            <w:bookmarkStart w:id="143" w:name="_Toc121162850"/>
            <w:bookmarkStart w:id="144" w:name="_Toc138894794"/>
            <w:bookmarkStart w:id="145" w:name="_Toc163214360"/>
            <w:bookmarkStart w:id="146" w:name="_Toc153138246"/>
            <w:bookmarkStart w:id="147" w:name="_Toc124177559"/>
            <w:bookmarkStart w:id="148" w:name="_Toc111062060"/>
            <w:bookmarkStart w:id="149" w:name="_Toc161928661"/>
            <w:bookmarkStart w:id="150" w:name="_Toc145029505"/>
            <w:bookmarkStart w:id="151" w:name="_Toc153136052"/>
            <w:bookmarkStart w:id="152" w:name="_Toc130826113"/>
            <w:bookmarkStart w:id="153" w:name="_Toc121827731"/>
            <w:bookmarkStart w:id="154" w:name="_Toc124177986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6.5A.3.2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Spectrum emission mask</w:t>
            </w:r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  <w:bookmarkEnd w:id="148"/>
            <w:bookmarkEnd w:id="149"/>
            <w:bookmarkEnd w:id="150"/>
            <w:bookmarkEnd w:id="151"/>
            <w:bookmarkEnd w:id="152"/>
            <w:bookmarkEnd w:id="153"/>
            <w:bookmarkEnd w:id="154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155" w:name="_Toc145029521"/>
            <w:bookmarkStart w:id="156" w:name="_Toc163213902"/>
            <w:bookmarkStart w:id="157" w:name="_Toc153138265"/>
            <w:bookmarkStart w:id="158" w:name="_Toc137401286"/>
            <w:bookmarkStart w:id="159" w:name="_Toc138894810"/>
            <w:bookmarkStart w:id="160" w:name="_Toc121827747"/>
            <w:bookmarkStart w:id="161" w:name="_Toc120570074"/>
            <w:bookmarkStart w:id="162" w:name="_Toc111062064"/>
            <w:bookmarkStart w:id="163" w:name="_Toc130826129"/>
            <w:bookmarkStart w:id="164" w:name="_Toc153136068"/>
            <w:bookmarkStart w:id="165" w:name="_Toc137386406"/>
            <w:bookmarkStart w:id="166" w:name="_Toc163214379"/>
            <w:bookmarkStart w:id="167" w:name="_Toc124177575"/>
            <w:bookmarkStart w:id="168" w:name="_Toc124178002"/>
            <w:bookmarkStart w:id="169" w:name="_Toc121162866"/>
            <w:bookmarkStart w:id="170" w:name="_Toc16192868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6.5B.3.2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Spectrum emission mask</w:t>
            </w:r>
            <w:bookmarkEnd w:id="155"/>
            <w:bookmarkEnd w:id="156"/>
            <w:bookmarkEnd w:id="157"/>
            <w:bookmarkEnd w:id="158"/>
            <w:bookmarkEnd w:id="159"/>
            <w:bookmarkEnd w:id="160"/>
            <w:bookmarkEnd w:id="161"/>
            <w:bookmarkEnd w:id="162"/>
            <w:bookmarkEnd w:id="163"/>
            <w:bookmarkEnd w:id="164"/>
            <w:bookmarkEnd w:id="165"/>
            <w:bookmarkEnd w:id="166"/>
            <w:bookmarkEnd w:id="167"/>
            <w:bookmarkEnd w:id="168"/>
            <w:bookmarkEnd w:id="169"/>
            <w:bookmarkEnd w:id="170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171" w:name="_Toc111062061"/>
            <w:bookmarkStart w:id="172" w:name="_Toc138894795"/>
            <w:bookmarkStart w:id="173" w:name="_Toc163214361"/>
            <w:bookmarkStart w:id="174" w:name="_Toc120570059"/>
            <w:bookmarkStart w:id="175" w:name="_Toc163213884"/>
            <w:bookmarkStart w:id="176" w:name="_Toc137386391"/>
            <w:bookmarkStart w:id="177" w:name="_Toc137401271"/>
            <w:bookmarkStart w:id="178" w:name="_Toc130826114"/>
            <w:bookmarkStart w:id="179" w:name="_Toc145029506"/>
            <w:bookmarkStart w:id="180" w:name="_Toc124177987"/>
            <w:bookmarkStart w:id="181" w:name="_Toc161928662"/>
            <w:bookmarkStart w:id="182" w:name="_Toc153136053"/>
            <w:bookmarkStart w:id="183" w:name="_Toc153138247"/>
            <w:bookmarkStart w:id="184" w:name="_Toc121827732"/>
            <w:bookmarkStart w:id="185" w:name="_Toc124177560"/>
            <w:bookmarkStart w:id="186" w:name="_Toc12116285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6.5A.3.3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Spectrum Emission Mask</w:t>
            </w:r>
            <w:bookmarkEnd w:id="17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 for category M1</w:t>
            </w:r>
            <w:bookmarkEnd w:id="172"/>
            <w:bookmarkEnd w:id="173"/>
            <w:bookmarkEnd w:id="174"/>
            <w:bookmarkEnd w:id="175"/>
            <w:bookmarkEnd w:id="176"/>
            <w:bookmarkEnd w:id="177"/>
            <w:bookmarkEnd w:id="178"/>
            <w:bookmarkEnd w:id="179"/>
            <w:bookmarkEnd w:id="180"/>
            <w:bookmarkEnd w:id="181"/>
            <w:bookmarkEnd w:id="182"/>
            <w:bookmarkEnd w:id="183"/>
            <w:bookmarkEnd w:id="184"/>
            <w:bookmarkEnd w:id="185"/>
            <w:bookmarkEnd w:id="186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187" w:name="_Toc121162867"/>
            <w:bookmarkStart w:id="188" w:name="_Toc145029522"/>
            <w:bookmarkStart w:id="189" w:name="_Toc111062065"/>
            <w:bookmarkStart w:id="190" w:name="_Toc138894811"/>
            <w:bookmarkStart w:id="191" w:name="_Toc121827748"/>
            <w:bookmarkStart w:id="192" w:name="_Toc161928681"/>
            <w:bookmarkStart w:id="193" w:name="_Toc153138266"/>
            <w:bookmarkStart w:id="194" w:name="_Toc137401287"/>
            <w:bookmarkStart w:id="195" w:name="_Toc120570075"/>
            <w:bookmarkStart w:id="196" w:name="_Toc124178003"/>
            <w:bookmarkStart w:id="197" w:name="_Toc130826130"/>
            <w:bookmarkStart w:id="198" w:name="_Toc153136069"/>
            <w:bookmarkStart w:id="199" w:name="_Toc163214380"/>
            <w:bookmarkStart w:id="200" w:name="_Toc163213903"/>
            <w:bookmarkStart w:id="201" w:name="_Toc137386407"/>
            <w:bookmarkStart w:id="202" w:name="_Toc124177576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6.5B.3.3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Spectrum Emission Mask for category NB1 and NB2</w:t>
            </w:r>
            <w:bookmarkEnd w:id="187"/>
            <w:bookmarkEnd w:id="188"/>
            <w:bookmarkEnd w:id="189"/>
            <w:bookmarkEnd w:id="190"/>
            <w:bookmarkEnd w:id="191"/>
            <w:bookmarkEnd w:id="192"/>
            <w:bookmarkEnd w:id="193"/>
            <w:bookmarkEnd w:id="194"/>
            <w:bookmarkEnd w:id="195"/>
            <w:bookmarkEnd w:id="196"/>
            <w:bookmarkEnd w:id="197"/>
            <w:bookmarkEnd w:id="198"/>
            <w:bookmarkEnd w:id="199"/>
            <w:bookmarkEnd w:id="200"/>
            <w:bookmarkEnd w:id="201"/>
            <w:bookmarkEnd w:id="202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03" w:name="_Toc111062062"/>
            <w:bookmarkStart w:id="204" w:name="_Toc163214362"/>
            <w:bookmarkStart w:id="205" w:name="_Toc163213885"/>
            <w:bookmarkStart w:id="206" w:name="_Toc138894796"/>
            <w:bookmarkStart w:id="207" w:name="_Toc124177561"/>
            <w:bookmarkStart w:id="208" w:name="_Toc145029507"/>
            <w:bookmarkStart w:id="209" w:name="_Toc120570060"/>
            <w:bookmarkStart w:id="210" w:name="_Toc121162852"/>
            <w:bookmarkStart w:id="211" w:name="_Toc124177988"/>
            <w:bookmarkStart w:id="212" w:name="_Toc137386392"/>
            <w:bookmarkStart w:id="213" w:name="_Toc121827733"/>
            <w:bookmarkStart w:id="214" w:name="_Toc130826115"/>
            <w:bookmarkStart w:id="215" w:name="_Toc137401272"/>
            <w:bookmarkStart w:id="216" w:name="_Toc153136054"/>
            <w:bookmarkStart w:id="217" w:name="_Toc153138248"/>
            <w:bookmarkStart w:id="218" w:name="_Toc161928663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6.5A.3.4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Leakage Ratio</w:t>
            </w:r>
            <w:bookmarkEnd w:id="203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 for category M1</w:t>
            </w:r>
            <w:bookmarkEnd w:id="204"/>
            <w:bookmarkEnd w:id="205"/>
            <w:bookmarkEnd w:id="206"/>
            <w:bookmarkEnd w:id="207"/>
            <w:bookmarkEnd w:id="208"/>
            <w:bookmarkEnd w:id="209"/>
            <w:bookmarkEnd w:id="210"/>
            <w:bookmarkEnd w:id="211"/>
            <w:bookmarkEnd w:id="212"/>
            <w:bookmarkEnd w:id="213"/>
            <w:bookmarkEnd w:id="214"/>
            <w:bookmarkEnd w:id="215"/>
            <w:bookmarkEnd w:id="216"/>
            <w:bookmarkEnd w:id="217"/>
            <w:bookmarkEnd w:id="218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19" w:name="_Toc153138267"/>
            <w:bookmarkStart w:id="220" w:name="_Toc137401288"/>
            <w:bookmarkStart w:id="221" w:name="_Toc111062066"/>
            <w:bookmarkStart w:id="222" w:name="_Toc163213904"/>
            <w:bookmarkStart w:id="223" w:name="_Toc138894812"/>
            <w:bookmarkStart w:id="224" w:name="_Toc124177577"/>
            <w:bookmarkStart w:id="225" w:name="_Toc124178004"/>
            <w:bookmarkStart w:id="226" w:name="_Toc130826131"/>
            <w:bookmarkStart w:id="227" w:name="_Toc121827749"/>
            <w:bookmarkStart w:id="228" w:name="_Toc120570076"/>
            <w:bookmarkStart w:id="229" w:name="_Toc121162868"/>
            <w:bookmarkStart w:id="230" w:name="_Toc161928682"/>
            <w:bookmarkStart w:id="231" w:name="_Toc163214381"/>
            <w:bookmarkStart w:id="232" w:name="_Toc137386408"/>
            <w:bookmarkStart w:id="233" w:name="_Toc145029523"/>
            <w:bookmarkStart w:id="234" w:name="_Toc15313607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6.5B.3.4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Leakage Ratio for category NB1 and NB2</w:t>
            </w:r>
            <w:bookmarkEnd w:id="219"/>
            <w:bookmarkEnd w:id="220"/>
            <w:bookmarkEnd w:id="221"/>
            <w:bookmarkEnd w:id="222"/>
            <w:bookmarkEnd w:id="223"/>
            <w:bookmarkEnd w:id="224"/>
            <w:bookmarkEnd w:id="225"/>
            <w:bookmarkEnd w:id="226"/>
            <w:bookmarkEnd w:id="227"/>
            <w:bookmarkEnd w:id="228"/>
            <w:bookmarkEnd w:id="229"/>
            <w:bookmarkEnd w:id="230"/>
            <w:bookmarkEnd w:id="231"/>
            <w:bookmarkEnd w:id="232"/>
            <w:bookmarkEnd w:id="233"/>
            <w:bookmarkEnd w:id="234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35" w:name="_Toc124177991"/>
            <w:bookmarkStart w:id="236" w:name="_Toc121162855"/>
            <w:bookmarkStart w:id="237" w:name="_Toc145029510"/>
            <w:bookmarkStart w:id="238" w:name="_Toc163213888"/>
            <w:bookmarkStart w:id="239" w:name="_Toc153136057"/>
            <w:bookmarkStart w:id="240" w:name="_Toc121827736"/>
            <w:bookmarkStart w:id="241" w:name="_Toc130826118"/>
            <w:bookmarkStart w:id="242" w:name="_Toc137386395"/>
            <w:bookmarkStart w:id="243" w:name="_Toc120570063"/>
            <w:bookmarkStart w:id="244" w:name="_Toc138894799"/>
            <w:bookmarkStart w:id="245" w:name="_Toc153138251"/>
            <w:bookmarkStart w:id="246" w:name="_Toc161928666"/>
            <w:bookmarkStart w:id="247" w:name="_Toc163214365"/>
            <w:bookmarkStart w:id="248" w:name="_Toc137401275"/>
            <w:bookmarkStart w:id="249" w:name="_Toc124177564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6.5A.4.2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bookmarkEnd w:id="235"/>
            <w:bookmarkEnd w:id="236"/>
            <w:bookmarkEnd w:id="237"/>
            <w:bookmarkEnd w:id="238"/>
            <w:bookmarkEnd w:id="239"/>
            <w:bookmarkEnd w:id="240"/>
            <w:bookmarkEnd w:id="241"/>
            <w:bookmarkEnd w:id="242"/>
            <w:bookmarkEnd w:id="243"/>
            <w:bookmarkEnd w:id="244"/>
            <w:bookmarkEnd w:id="245"/>
            <w:bookmarkEnd w:id="246"/>
            <w:bookmarkEnd w:id="247"/>
            <w:bookmarkEnd w:id="248"/>
            <w:bookmarkEnd w:id="249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General spurious emissions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.4.2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General spurious emissions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50" w:name="_Toc121162856"/>
            <w:bookmarkStart w:id="251" w:name="_Toc163213889"/>
            <w:bookmarkStart w:id="252" w:name="_Toc163214366"/>
            <w:bookmarkStart w:id="253" w:name="_Toc124177565"/>
            <w:bookmarkStart w:id="254" w:name="_Toc153138252"/>
            <w:bookmarkStart w:id="255" w:name="_Toc153136058"/>
            <w:bookmarkStart w:id="256" w:name="_Toc137401276"/>
            <w:bookmarkStart w:id="257" w:name="_Toc137386396"/>
            <w:bookmarkStart w:id="258" w:name="_Toc161928667"/>
            <w:bookmarkStart w:id="259" w:name="_Toc124177992"/>
            <w:bookmarkStart w:id="260" w:name="_Toc121827737"/>
            <w:bookmarkStart w:id="261" w:name="_Toc138894800"/>
            <w:bookmarkStart w:id="262" w:name="_Toc120570064"/>
            <w:bookmarkStart w:id="263" w:name="_Toc145029511"/>
            <w:bookmarkStart w:id="264" w:name="_Toc130826119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6.5A.4.3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emission band UE co-existence</w:t>
            </w:r>
            <w:bookmarkEnd w:id="250"/>
            <w:bookmarkEnd w:id="251"/>
            <w:bookmarkEnd w:id="252"/>
            <w:bookmarkEnd w:id="253"/>
            <w:bookmarkEnd w:id="254"/>
            <w:bookmarkEnd w:id="255"/>
            <w:bookmarkEnd w:id="256"/>
            <w:bookmarkEnd w:id="257"/>
            <w:bookmarkEnd w:id="258"/>
            <w:bookmarkEnd w:id="259"/>
            <w:bookmarkEnd w:id="260"/>
            <w:bookmarkEnd w:id="261"/>
            <w:bookmarkEnd w:id="262"/>
            <w:bookmarkEnd w:id="263"/>
            <w:bookmarkEnd w:id="264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Band 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[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52]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 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add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in Table 6.5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A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4.3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65" w:name="_Toc121162857"/>
            <w:bookmarkStart w:id="266" w:name="_Toc163213890"/>
            <w:bookmarkStart w:id="267" w:name="_Toc145029512"/>
            <w:bookmarkStart w:id="268" w:name="_Toc137401277"/>
            <w:bookmarkStart w:id="269" w:name="_Toc120570065"/>
            <w:bookmarkStart w:id="270" w:name="_Toc138894801"/>
            <w:bookmarkStart w:id="271" w:name="_Toc161928668"/>
            <w:bookmarkStart w:id="272" w:name="_Toc153138253"/>
            <w:bookmarkStart w:id="273" w:name="_Toc153136059"/>
            <w:bookmarkStart w:id="274" w:name="_Toc124177993"/>
            <w:bookmarkStart w:id="275" w:name="_Toc121827738"/>
            <w:bookmarkStart w:id="276" w:name="_Toc124177566"/>
            <w:bookmarkStart w:id="277" w:name="_Toc130826120"/>
            <w:bookmarkStart w:id="278" w:name="_Toc163214367"/>
            <w:bookmarkStart w:id="279" w:name="_Toc137386397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.4.3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emission band UE co-existence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6.5A.4.4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spurious emissions</w:t>
            </w:r>
            <w:bookmarkEnd w:id="265"/>
            <w:bookmarkEnd w:id="266"/>
            <w:bookmarkEnd w:id="267"/>
            <w:bookmarkEnd w:id="268"/>
            <w:bookmarkEnd w:id="269"/>
            <w:bookmarkEnd w:id="270"/>
            <w:bookmarkEnd w:id="271"/>
            <w:bookmarkEnd w:id="272"/>
            <w:bookmarkEnd w:id="273"/>
            <w:bookmarkEnd w:id="274"/>
            <w:bookmarkEnd w:id="275"/>
            <w:bookmarkEnd w:id="276"/>
            <w:bookmarkEnd w:id="277"/>
            <w:bookmarkEnd w:id="278"/>
            <w:bookmarkEnd w:id="279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pecification impact.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Additional spurious emissions requirement for B23 can be reused for the new IoT-NTN S-band.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.4.4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spurious emissions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80" w:name="_Toc138894822"/>
            <w:bookmarkStart w:id="281" w:name="_Toc137386418"/>
            <w:bookmarkStart w:id="282" w:name="_Toc121162878"/>
            <w:bookmarkStart w:id="283" w:name="_Toc120570086"/>
            <w:bookmarkStart w:id="284" w:name="_Toc124177587"/>
            <w:bookmarkStart w:id="285" w:name="_Toc153136080"/>
            <w:bookmarkStart w:id="286" w:name="_Toc124178014"/>
            <w:bookmarkStart w:id="287" w:name="_Toc121827759"/>
            <w:bookmarkStart w:id="288" w:name="_Toc163213917"/>
            <w:bookmarkStart w:id="289" w:name="_Toc130826141"/>
            <w:bookmarkStart w:id="290" w:name="_Toc137401298"/>
            <w:bookmarkStart w:id="291" w:name="_Toc145029533"/>
            <w:bookmarkStart w:id="292" w:name="_Toc163214394"/>
            <w:bookmarkStart w:id="293" w:name="_Toc153138280"/>
            <w:bookmarkStart w:id="294" w:name="_Toc161928695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6.6A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Transmit intermodulation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for category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M1</w:t>
            </w:r>
            <w:bookmarkEnd w:id="280"/>
            <w:bookmarkEnd w:id="281"/>
            <w:bookmarkEnd w:id="282"/>
            <w:bookmarkEnd w:id="283"/>
            <w:bookmarkEnd w:id="284"/>
            <w:bookmarkEnd w:id="285"/>
            <w:bookmarkEnd w:id="286"/>
            <w:bookmarkEnd w:id="287"/>
            <w:bookmarkEnd w:id="288"/>
            <w:bookmarkEnd w:id="289"/>
            <w:bookmarkEnd w:id="290"/>
            <w:bookmarkEnd w:id="291"/>
            <w:bookmarkEnd w:id="292"/>
            <w:bookmarkEnd w:id="293"/>
            <w:bookmarkEnd w:id="294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295" w:name="_Toc121827760"/>
            <w:bookmarkStart w:id="296" w:name="_Toc137401299"/>
            <w:bookmarkStart w:id="297" w:name="_Toc124178015"/>
            <w:bookmarkStart w:id="298" w:name="_Toc137386419"/>
            <w:bookmarkStart w:id="299" w:name="_Toc161928696"/>
            <w:bookmarkStart w:id="300" w:name="_Toc130826142"/>
            <w:bookmarkStart w:id="301" w:name="_Toc138894823"/>
            <w:bookmarkStart w:id="302" w:name="_Toc124177588"/>
            <w:bookmarkStart w:id="303" w:name="_Toc120570087"/>
            <w:bookmarkStart w:id="304" w:name="_Toc163213918"/>
            <w:bookmarkStart w:id="305" w:name="_Toc145029534"/>
            <w:bookmarkStart w:id="306" w:name="_Toc153138281"/>
            <w:bookmarkStart w:id="307" w:name="_Toc121162879"/>
            <w:bookmarkStart w:id="308" w:name="_Toc163214395"/>
            <w:bookmarkStart w:id="309" w:name="_Toc15313608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6.6B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Transmit intermodulation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for category NB1 and NB2</w:t>
            </w:r>
            <w:bookmarkEnd w:id="295"/>
            <w:bookmarkEnd w:id="296"/>
            <w:bookmarkEnd w:id="297"/>
            <w:bookmarkEnd w:id="298"/>
            <w:bookmarkEnd w:id="29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  <w:bookmarkEnd w:id="307"/>
            <w:bookmarkEnd w:id="308"/>
            <w:bookmarkEnd w:id="309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310" w:name="_Toc161928701"/>
            <w:bookmarkStart w:id="311" w:name="_Toc124177593"/>
            <w:bookmarkStart w:id="312" w:name="_Toc121827765"/>
            <w:bookmarkStart w:id="313" w:name="_Toc145029539"/>
            <w:bookmarkStart w:id="314" w:name="_Toc120570092"/>
            <w:bookmarkStart w:id="315" w:name="_Toc153138286"/>
            <w:bookmarkStart w:id="316" w:name="_Toc130826147"/>
            <w:bookmarkStart w:id="317" w:name="_Toc121162884"/>
            <w:bookmarkStart w:id="318" w:name="_Toc137401304"/>
            <w:bookmarkStart w:id="319" w:name="_Toc138894828"/>
            <w:bookmarkStart w:id="320" w:name="_Toc163214400"/>
            <w:bookmarkStart w:id="321" w:name="_Toc153136086"/>
            <w:bookmarkStart w:id="322" w:name="_Toc137386424"/>
            <w:bookmarkStart w:id="323" w:name="_Toc163213923"/>
            <w:bookmarkStart w:id="324" w:name="_Toc12417802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7.3A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Reference sensitivity power level for UE category M1</w:t>
            </w:r>
            <w:bookmarkEnd w:id="310"/>
            <w:bookmarkEnd w:id="311"/>
            <w:bookmarkEnd w:id="312"/>
            <w:bookmarkEnd w:id="313"/>
            <w:bookmarkEnd w:id="314"/>
            <w:bookmarkEnd w:id="315"/>
            <w:bookmarkEnd w:id="316"/>
            <w:bookmarkEnd w:id="317"/>
            <w:bookmarkEnd w:id="318"/>
            <w:bookmarkEnd w:id="319"/>
            <w:bookmarkEnd w:id="320"/>
            <w:bookmarkEnd w:id="321"/>
            <w:bookmarkEnd w:id="322"/>
            <w:bookmarkEnd w:id="323"/>
            <w:bookmarkEnd w:id="324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325" w:name="_Toc163213924"/>
            <w:bookmarkStart w:id="326" w:name="_Toc137401305"/>
            <w:bookmarkStart w:id="327" w:name="_Toc138894829"/>
            <w:bookmarkStart w:id="328" w:name="_Toc153136087"/>
            <w:bookmarkStart w:id="329" w:name="_Toc124177594"/>
            <w:bookmarkStart w:id="330" w:name="_Toc161928702"/>
            <w:bookmarkStart w:id="331" w:name="_Toc130826148"/>
            <w:bookmarkStart w:id="332" w:name="_Toc121162885"/>
            <w:bookmarkStart w:id="333" w:name="_Toc137386425"/>
            <w:bookmarkStart w:id="334" w:name="_Toc121827766"/>
            <w:bookmarkStart w:id="335" w:name="_Toc153138287"/>
            <w:bookmarkStart w:id="336" w:name="_Toc145029540"/>
            <w:bookmarkStart w:id="337" w:name="_Toc163214401"/>
            <w:bookmarkStart w:id="338" w:name="_Toc120570093"/>
            <w:bookmarkStart w:id="339" w:name="_Toc12417802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7.3B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Reference sensitivity power level for UE category NB1 and NB2</w:t>
            </w:r>
            <w:bookmarkEnd w:id="325"/>
            <w:bookmarkEnd w:id="326"/>
            <w:bookmarkEnd w:id="327"/>
            <w:bookmarkEnd w:id="328"/>
            <w:bookmarkEnd w:id="329"/>
            <w:bookmarkEnd w:id="330"/>
            <w:bookmarkEnd w:id="331"/>
            <w:bookmarkEnd w:id="332"/>
            <w:bookmarkEnd w:id="333"/>
            <w:bookmarkEnd w:id="334"/>
            <w:bookmarkEnd w:id="335"/>
            <w:bookmarkEnd w:id="336"/>
            <w:bookmarkEnd w:id="337"/>
            <w:bookmarkEnd w:id="338"/>
            <w:bookmarkEnd w:id="339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Band specific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requirement for B23 can be reused for the new IoT-NTN S-band.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340" w:name="_Toc161928704"/>
            <w:bookmarkStart w:id="341" w:name="_Toc145029542"/>
            <w:bookmarkStart w:id="342" w:name="_Toc124177596"/>
            <w:bookmarkStart w:id="343" w:name="_Toc153136089"/>
            <w:bookmarkStart w:id="344" w:name="_Toc121162887"/>
            <w:bookmarkStart w:id="345" w:name="_Toc153138289"/>
            <w:bookmarkStart w:id="346" w:name="_Toc124178023"/>
            <w:bookmarkStart w:id="347" w:name="_Toc137386427"/>
            <w:bookmarkStart w:id="348" w:name="_Toc163214403"/>
            <w:bookmarkStart w:id="349" w:name="_Toc163213926"/>
            <w:bookmarkStart w:id="350" w:name="_Toc137401307"/>
            <w:bookmarkStart w:id="351" w:name="_Toc120570095"/>
            <w:bookmarkStart w:id="352" w:name="_Toc138894831"/>
            <w:bookmarkStart w:id="353" w:name="_Toc130826150"/>
            <w:bookmarkStart w:id="354" w:name="_Toc121827768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Maximum input level for category M1</w:t>
            </w:r>
            <w:bookmarkEnd w:id="340"/>
            <w:bookmarkEnd w:id="341"/>
            <w:bookmarkEnd w:id="342"/>
            <w:bookmarkEnd w:id="343"/>
            <w:bookmarkEnd w:id="344"/>
            <w:bookmarkEnd w:id="345"/>
            <w:bookmarkEnd w:id="346"/>
            <w:bookmarkEnd w:id="347"/>
            <w:bookmarkEnd w:id="348"/>
            <w:bookmarkEnd w:id="349"/>
            <w:bookmarkEnd w:id="350"/>
            <w:bookmarkEnd w:id="351"/>
            <w:bookmarkEnd w:id="352"/>
            <w:bookmarkEnd w:id="353"/>
            <w:bookmarkEnd w:id="354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355" w:name="_Toc124178024"/>
            <w:bookmarkStart w:id="356" w:name="_Toc137386428"/>
            <w:bookmarkStart w:id="357" w:name="_Toc153136090"/>
            <w:bookmarkStart w:id="358" w:name="_Toc145029543"/>
            <w:bookmarkStart w:id="359" w:name="_Toc163214404"/>
            <w:bookmarkStart w:id="360" w:name="_Toc161928705"/>
            <w:bookmarkStart w:id="361" w:name="_Toc120570096"/>
            <w:bookmarkStart w:id="362" w:name="_Toc121162888"/>
            <w:bookmarkStart w:id="363" w:name="_Toc121827769"/>
            <w:bookmarkStart w:id="364" w:name="_Toc138894832"/>
            <w:bookmarkStart w:id="365" w:name="_Toc124177597"/>
            <w:bookmarkStart w:id="366" w:name="_Toc163213927"/>
            <w:bookmarkStart w:id="367" w:name="_Toc153138290"/>
            <w:bookmarkStart w:id="368" w:name="_Toc130826151"/>
            <w:bookmarkStart w:id="369" w:name="_Toc137401308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Maximum input level for category NB1 and NB2</w:t>
            </w:r>
            <w:bookmarkEnd w:id="355"/>
            <w:bookmarkEnd w:id="356"/>
            <w:bookmarkEnd w:id="357"/>
            <w:bookmarkEnd w:id="358"/>
            <w:bookmarkEnd w:id="359"/>
            <w:bookmarkEnd w:id="360"/>
            <w:bookmarkEnd w:id="361"/>
            <w:bookmarkEnd w:id="362"/>
            <w:bookmarkEnd w:id="363"/>
            <w:bookmarkEnd w:id="364"/>
            <w:bookmarkEnd w:id="365"/>
            <w:bookmarkEnd w:id="366"/>
            <w:bookmarkEnd w:id="367"/>
            <w:bookmarkEnd w:id="368"/>
            <w:bookmarkEnd w:id="369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370" w:name="_Toc120570098"/>
            <w:bookmarkStart w:id="371" w:name="_Toc124178026"/>
            <w:bookmarkStart w:id="372" w:name="_Toc163214406"/>
            <w:bookmarkStart w:id="373" w:name="_Toc130826153"/>
            <w:bookmarkStart w:id="374" w:name="_Toc137401310"/>
            <w:bookmarkStart w:id="375" w:name="_Toc145029545"/>
            <w:bookmarkStart w:id="376" w:name="_Toc138894834"/>
            <w:bookmarkStart w:id="377" w:name="_Toc124177599"/>
            <w:bookmarkStart w:id="378" w:name="_Toc161928707"/>
            <w:bookmarkStart w:id="379" w:name="_Toc121162890"/>
            <w:bookmarkStart w:id="380" w:name="_Toc153138292"/>
            <w:bookmarkStart w:id="381" w:name="_Toc163213929"/>
            <w:bookmarkStart w:id="382" w:name="_Toc121827771"/>
            <w:bookmarkStart w:id="383" w:name="_Toc153136092"/>
            <w:bookmarkStart w:id="384" w:name="_Toc13738643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Selectivity for category M1</w:t>
            </w:r>
            <w:bookmarkEnd w:id="370"/>
            <w:bookmarkEnd w:id="371"/>
            <w:bookmarkEnd w:id="372"/>
            <w:bookmarkEnd w:id="373"/>
            <w:bookmarkEnd w:id="374"/>
            <w:bookmarkEnd w:id="375"/>
            <w:bookmarkEnd w:id="376"/>
            <w:bookmarkEnd w:id="377"/>
            <w:bookmarkEnd w:id="378"/>
            <w:bookmarkEnd w:id="379"/>
            <w:bookmarkEnd w:id="380"/>
            <w:bookmarkEnd w:id="381"/>
            <w:bookmarkEnd w:id="382"/>
            <w:bookmarkEnd w:id="383"/>
            <w:bookmarkEnd w:id="384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385" w:name="_Toc130826154"/>
            <w:bookmarkStart w:id="386" w:name="_Toc161928708"/>
            <w:bookmarkStart w:id="387" w:name="_Toc153138293"/>
            <w:bookmarkStart w:id="388" w:name="_Toc163214407"/>
            <w:bookmarkStart w:id="389" w:name="_Toc124177600"/>
            <w:bookmarkStart w:id="390" w:name="_Toc124178027"/>
            <w:bookmarkStart w:id="391" w:name="_Toc121827772"/>
            <w:bookmarkStart w:id="392" w:name="_Toc120570099"/>
            <w:bookmarkStart w:id="393" w:name="_Toc137401311"/>
            <w:bookmarkStart w:id="394" w:name="_Toc121162891"/>
            <w:bookmarkStart w:id="395" w:name="_Toc153136093"/>
            <w:bookmarkStart w:id="396" w:name="_Toc137386431"/>
            <w:bookmarkStart w:id="397" w:name="_Toc163213930"/>
            <w:bookmarkStart w:id="398" w:name="_Toc138894835"/>
            <w:bookmarkStart w:id="399" w:name="_Toc145029546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Selectivity for category NB1 and NB2</w:t>
            </w:r>
            <w:bookmarkEnd w:id="385"/>
            <w:bookmarkEnd w:id="386"/>
            <w:bookmarkEnd w:id="387"/>
            <w:bookmarkEnd w:id="388"/>
            <w:bookmarkEnd w:id="389"/>
            <w:bookmarkEnd w:id="390"/>
            <w:bookmarkEnd w:id="391"/>
            <w:bookmarkEnd w:id="392"/>
            <w:bookmarkEnd w:id="393"/>
            <w:bookmarkEnd w:id="394"/>
            <w:bookmarkEnd w:id="395"/>
            <w:bookmarkEnd w:id="396"/>
            <w:bookmarkEnd w:id="397"/>
            <w:bookmarkEnd w:id="398"/>
            <w:bookmarkEnd w:id="399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00" w:name="_Toc153138297"/>
            <w:bookmarkStart w:id="401" w:name="_Toc145029550"/>
            <w:bookmarkStart w:id="402" w:name="_Toc161928712"/>
            <w:bookmarkStart w:id="403" w:name="_Toc137401315"/>
            <w:bookmarkStart w:id="404" w:name="_Toc138894839"/>
            <w:bookmarkStart w:id="405" w:name="_Toc153136097"/>
            <w:bookmarkStart w:id="406" w:name="_Toc120570103"/>
            <w:bookmarkStart w:id="407" w:name="_Toc163213934"/>
            <w:bookmarkStart w:id="408" w:name="_Toc121162895"/>
            <w:bookmarkStart w:id="409" w:name="_Toc137386435"/>
            <w:bookmarkStart w:id="410" w:name="_Toc163214411"/>
            <w:bookmarkStart w:id="411" w:name="_Toc124177604"/>
            <w:bookmarkStart w:id="412" w:name="_Toc121827776"/>
            <w:bookmarkStart w:id="413" w:name="_Toc124178031"/>
            <w:bookmarkStart w:id="414" w:name="_Toc130826158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7.6A.2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In-band blocking requirements for category M1</w:t>
            </w:r>
            <w:bookmarkEnd w:id="400"/>
            <w:bookmarkEnd w:id="401"/>
            <w:bookmarkEnd w:id="402"/>
            <w:bookmarkEnd w:id="403"/>
            <w:bookmarkEnd w:id="404"/>
            <w:bookmarkEnd w:id="405"/>
            <w:bookmarkEnd w:id="406"/>
            <w:bookmarkEnd w:id="407"/>
            <w:bookmarkEnd w:id="408"/>
            <w:bookmarkEnd w:id="409"/>
            <w:bookmarkEnd w:id="410"/>
            <w:bookmarkEnd w:id="411"/>
            <w:bookmarkEnd w:id="412"/>
            <w:bookmarkEnd w:id="413"/>
            <w:bookmarkEnd w:id="414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Considering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efine in-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253, 254, 255, 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15" w:name="_Toc163213939"/>
            <w:bookmarkStart w:id="416" w:name="_Toc124178036"/>
            <w:bookmarkStart w:id="417" w:name="_Toc120570108"/>
            <w:bookmarkStart w:id="418" w:name="_Toc153138302"/>
            <w:bookmarkStart w:id="419" w:name="_Toc124177609"/>
            <w:bookmarkStart w:id="420" w:name="_Toc145029555"/>
            <w:bookmarkStart w:id="421" w:name="_Toc163214416"/>
            <w:bookmarkStart w:id="422" w:name="_Toc137386440"/>
            <w:bookmarkStart w:id="423" w:name="_Toc138894844"/>
            <w:bookmarkStart w:id="424" w:name="_Toc153136102"/>
            <w:bookmarkStart w:id="425" w:name="_Toc161928717"/>
            <w:bookmarkStart w:id="426" w:name="_Toc137401320"/>
            <w:bookmarkStart w:id="427" w:name="_Toc130826163"/>
            <w:bookmarkStart w:id="428" w:name="_Toc121162900"/>
            <w:bookmarkStart w:id="429" w:name="_Toc12182778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7.6B.2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In-band blocking requirements for category NB1 and NB2</w:t>
            </w:r>
            <w:bookmarkEnd w:id="415"/>
            <w:bookmarkEnd w:id="416"/>
            <w:bookmarkEnd w:id="417"/>
            <w:bookmarkEnd w:id="418"/>
            <w:bookmarkEnd w:id="419"/>
            <w:bookmarkEnd w:id="420"/>
            <w:bookmarkEnd w:id="421"/>
            <w:bookmarkEnd w:id="422"/>
            <w:bookmarkEnd w:id="423"/>
            <w:bookmarkEnd w:id="424"/>
            <w:bookmarkEnd w:id="425"/>
            <w:bookmarkEnd w:id="426"/>
            <w:bookmarkEnd w:id="427"/>
            <w:bookmarkEnd w:id="428"/>
            <w:bookmarkEnd w:id="429"/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30" w:name="_Toc120570104"/>
            <w:bookmarkStart w:id="431" w:name="_Toc163214412"/>
            <w:bookmarkStart w:id="432" w:name="_Toc130826159"/>
            <w:bookmarkStart w:id="433" w:name="_Toc137386436"/>
            <w:bookmarkStart w:id="434" w:name="_Toc138894840"/>
            <w:bookmarkStart w:id="435" w:name="_Toc121162896"/>
            <w:bookmarkStart w:id="436" w:name="_Toc124178032"/>
            <w:bookmarkStart w:id="437" w:name="_Toc124177605"/>
            <w:bookmarkStart w:id="438" w:name="_Toc121827777"/>
            <w:bookmarkStart w:id="439" w:name="_Toc153138298"/>
            <w:bookmarkStart w:id="440" w:name="_Toc137401316"/>
            <w:bookmarkStart w:id="441" w:name="_Toc163213935"/>
            <w:bookmarkStart w:id="442" w:name="_Toc153136098"/>
            <w:bookmarkStart w:id="443" w:name="_Toc161928713"/>
            <w:bookmarkStart w:id="444" w:name="_Toc145029551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7.6A.3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Out-of-band blocking requirements for category M1</w:t>
            </w:r>
            <w:bookmarkEnd w:id="430"/>
            <w:bookmarkEnd w:id="431"/>
            <w:bookmarkEnd w:id="432"/>
            <w:bookmarkEnd w:id="433"/>
            <w:bookmarkEnd w:id="434"/>
            <w:bookmarkEnd w:id="435"/>
            <w:bookmarkEnd w:id="436"/>
            <w:bookmarkEnd w:id="437"/>
            <w:bookmarkEnd w:id="438"/>
            <w:bookmarkEnd w:id="439"/>
            <w:bookmarkEnd w:id="440"/>
            <w:bookmarkEnd w:id="441"/>
            <w:bookmarkEnd w:id="442"/>
            <w:bookmarkEnd w:id="443"/>
            <w:bookmarkEnd w:id="444"/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Considering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out-of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253, 254, 255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45" w:name="_Toc163213940"/>
            <w:bookmarkStart w:id="446" w:name="_Toc138894845"/>
            <w:bookmarkStart w:id="447" w:name="_Toc130826164"/>
            <w:bookmarkStart w:id="448" w:name="_Toc161928718"/>
            <w:bookmarkStart w:id="449" w:name="_Toc124178037"/>
            <w:bookmarkStart w:id="450" w:name="_Toc137401321"/>
            <w:bookmarkStart w:id="451" w:name="_Toc121827782"/>
            <w:bookmarkStart w:id="452" w:name="_Toc120570109"/>
            <w:bookmarkStart w:id="453" w:name="_Toc153138303"/>
            <w:bookmarkStart w:id="454" w:name="_Toc137386441"/>
            <w:bookmarkStart w:id="455" w:name="_Toc145029556"/>
            <w:bookmarkStart w:id="456" w:name="_Toc124177610"/>
            <w:bookmarkStart w:id="457" w:name="_Toc121162901"/>
            <w:bookmarkStart w:id="458" w:name="_Toc163214417"/>
            <w:bookmarkStart w:id="459" w:name="_Toc153136103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7.6B.3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Out-of-band blocking requirements for category NB1 and NB2</w:t>
            </w:r>
            <w:bookmarkEnd w:id="445"/>
            <w:bookmarkEnd w:id="446"/>
            <w:bookmarkEnd w:id="447"/>
            <w:bookmarkEnd w:id="448"/>
            <w:bookmarkEnd w:id="449"/>
            <w:bookmarkEnd w:id="450"/>
            <w:bookmarkEnd w:id="451"/>
            <w:bookmarkEnd w:id="452"/>
            <w:bookmarkEnd w:id="453"/>
            <w:bookmarkEnd w:id="454"/>
            <w:bookmarkEnd w:id="455"/>
            <w:bookmarkEnd w:id="456"/>
            <w:bookmarkEnd w:id="457"/>
            <w:bookmarkEnd w:id="458"/>
            <w:bookmarkEnd w:id="459"/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60" w:name="_Toc153136099"/>
            <w:bookmarkStart w:id="461" w:name="_Toc124178033"/>
            <w:bookmarkStart w:id="462" w:name="_Toc153138299"/>
            <w:bookmarkStart w:id="463" w:name="_Toc145029552"/>
            <w:bookmarkStart w:id="464" w:name="_Toc163213936"/>
            <w:bookmarkStart w:id="465" w:name="_Toc130826160"/>
            <w:bookmarkStart w:id="466" w:name="_Toc137401317"/>
            <w:bookmarkStart w:id="467" w:name="_Toc137386437"/>
            <w:bookmarkStart w:id="468" w:name="_Toc121827778"/>
            <w:bookmarkStart w:id="469" w:name="_Toc121162897"/>
            <w:bookmarkStart w:id="470" w:name="_Toc124177606"/>
            <w:bookmarkStart w:id="471" w:name="_Toc120570105"/>
            <w:bookmarkStart w:id="472" w:name="_Toc163214413"/>
            <w:bookmarkStart w:id="473" w:name="_Toc138894841"/>
            <w:bookmarkStart w:id="474" w:name="_Toc161928714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7.6A.4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Narrow band blocking for category M1</w:t>
            </w:r>
            <w:bookmarkEnd w:id="460"/>
            <w:bookmarkEnd w:id="461"/>
            <w:bookmarkEnd w:id="462"/>
            <w:bookmarkEnd w:id="463"/>
            <w:bookmarkEnd w:id="464"/>
            <w:bookmarkEnd w:id="465"/>
            <w:bookmarkEnd w:id="466"/>
            <w:bookmarkEnd w:id="467"/>
            <w:bookmarkEnd w:id="468"/>
            <w:bookmarkEnd w:id="469"/>
            <w:bookmarkEnd w:id="470"/>
            <w:bookmarkEnd w:id="471"/>
            <w:bookmarkEnd w:id="472"/>
            <w:bookmarkEnd w:id="473"/>
            <w:bookmarkEnd w:id="474"/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75" w:name="_Toc163213941"/>
            <w:bookmarkStart w:id="476" w:name="_Toc121162902"/>
            <w:bookmarkStart w:id="477" w:name="_Toc145029557"/>
            <w:bookmarkStart w:id="478" w:name="_Toc130826165"/>
            <w:bookmarkStart w:id="479" w:name="_Toc120570110"/>
            <w:bookmarkStart w:id="480" w:name="_Toc124177611"/>
            <w:bookmarkStart w:id="481" w:name="_Toc163214418"/>
            <w:bookmarkStart w:id="482" w:name="_Toc124178038"/>
            <w:bookmarkStart w:id="483" w:name="_Toc161928719"/>
            <w:bookmarkStart w:id="484" w:name="_Toc138894846"/>
            <w:bookmarkStart w:id="485" w:name="_Toc137386442"/>
            <w:bookmarkStart w:id="486" w:name="_Toc153136104"/>
            <w:bookmarkStart w:id="487" w:name="_Toc153138304"/>
            <w:bookmarkStart w:id="488" w:name="_Toc137401322"/>
            <w:bookmarkStart w:id="489" w:name="_Toc121827783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7.6B.4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Narrow band blocking for category NB1 and NB2</w:t>
            </w:r>
            <w:bookmarkEnd w:id="475"/>
            <w:bookmarkEnd w:id="476"/>
            <w:bookmarkEnd w:id="477"/>
            <w:bookmarkEnd w:id="478"/>
            <w:bookmarkEnd w:id="479"/>
            <w:bookmarkEnd w:id="480"/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bookmarkEnd w:id="488"/>
            <w:bookmarkEnd w:id="489"/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490" w:name="_Toc163213943"/>
            <w:bookmarkStart w:id="491" w:name="_Toc137401324"/>
            <w:bookmarkStart w:id="492" w:name="_Toc161928721"/>
            <w:bookmarkStart w:id="493" w:name="_Toc153138306"/>
            <w:bookmarkStart w:id="494" w:name="_Toc130826167"/>
            <w:bookmarkStart w:id="495" w:name="_Toc138894848"/>
            <w:bookmarkStart w:id="496" w:name="_Toc145029559"/>
            <w:bookmarkStart w:id="497" w:name="_Toc163214420"/>
            <w:bookmarkStart w:id="498" w:name="_Toc153136106"/>
            <w:bookmarkStart w:id="499" w:name="_Toc121827785"/>
            <w:bookmarkStart w:id="500" w:name="_Toc137386444"/>
            <w:bookmarkStart w:id="501" w:name="_Toc124177613"/>
            <w:bookmarkStart w:id="502" w:name="_Toc120570112"/>
            <w:bookmarkStart w:id="503" w:name="_Toc121162904"/>
            <w:bookmarkStart w:id="504" w:name="_Toc12417804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response for category M1</w:t>
            </w:r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505" w:name="_Toc163214421"/>
            <w:bookmarkStart w:id="506" w:name="_Toc138894849"/>
            <w:bookmarkStart w:id="507" w:name="_Toc145029560"/>
            <w:bookmarkStart w:id="508" w:name="_Toc137401325"/>
            <w:bookmarkStart w:id="509" w:name="_Toc124177614"/>
            <w:bookmarkStart w:id="510" w:name="_Toc163213944"/>
            <w:bookmarkStart w:id="511" w:name="_Toc120570113"/>
            <w:bookmarkStart w:id="512" w:name="_Toc124178041"/>
            <w:bookmarkStart w:id="513" w:name="_Toc121827786"/>
            <w:bookmarkStart w:id="514" w:name="_Toc161928722"/>
            <w:bookmarkStart w:id="515" w:name="_Toc153136107"/>
            <w:bookmarkStart w:id="516" w:name="_Toc121162905"/>
            <w:bookmarkStart w:id="517" w:name="_Toc130826168"/>
            <w:bookmarkStart w:id="518" w:name="_Toc153138307"/>
            <w:bookmarkStart w:id="519" w:name="_Toc137386445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response for category NB1 and NB2</w:t>
            </w:r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  <w:bookmarkEnd w:id="512"/>
            <w:bookmarkEnd w:id="513"/>
            <w:bookmarkEnd w:id="514"/>
            <w:bookmarkEnd w:id="515"/>
            <w:bookmarkEnd w:id="516"/>
            <w:bookmarkEnd w:id="517"/>
            <w:bookmarkEnd w:id="518"/>
            <w:bookmarkEnd w:id="519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520" w:name="_Toc163213946"/>
            <w:bookmarkStart w:id="521" w:name="_Toc121162907"/>
            <w:bookmarkStart w:id="522" w:name="_Toc138894851"/>
            <w:bookmarkStart w:id="523" w:name="_Toc145029562"/>
            <w:bookmarkStart w:id="524" w:name="_Toc163214423"/>
            <w:bookmarkStart w:id="525" w:name="_Toc120570115"/>
            <w:bookmarkStart w:id="526" w:name="_Toc130826170"/>
            <w:bookmarkStart w:id="527" w:name="_Toc137386447"/>
            <w:bookmarkStart w:id="528" w:name="_Toc124178043"/>
            <w:bookmarkStart w:id="529" w:name="_Toc153136109"/>
            <w:bookmarkStart w:id="530" w:name="_Toc121827788"/>
            <w:bookmarkStart w:id="531" w:name="_Toc124177616"/>
            <w:bookmarkStart w:id="532" w:name="_Toc153138309"/>
            <w:bookmarkStart w:id="533" w:name="_Toc137401327"/>
            <w:bookmarkStart w:id="534" w:name="_Toc161928724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>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Intermodulation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 xml:space="preserve"> characteristics for category M1</w:t>
            </w:r>
            <w:bookmarkEnd w:id="520"/>
            <w:bookmarkEnd w:id="521"/>
            <w:bookmarkEnd w:id="522"/>
            <w:bookmarkEnd w:id="523"/>
            <w:bookmarkEnd w:id="524"/>
            <w:bookmarkEnd w:id="525"/>
            <w:bookmarkEnd w:id="526"/>
            <w:bookmarkEnd w:id="527"/>
            <w:bookmarkEnd w:id="528"/>
            <w:bookmarkEnd w:id="529"/>
            <w:bookmarkEnd w:id="530"/>
            <w:bookmarkEnd w:id="531"/>
            <w:bookmarkEnd w:id="532"/>
            <w:bookmarkEnd w:id="533"/>
            <w:bookmarkEnd w:id="534"/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bookmarkStart w:id="535" w:name="_Toc138894852"/>
            <w:bookmarkStart w:id="536" w:name="_Toc124178044"/>
            <w:bookmarkStart w:id="537" w:name="_Toc145029563"/>
            <w:bookmarkStart w:id="538" w:name="_Toc124177617"/>
            <w:bookmarkStart w:id="539" w:name="_Toc163214424"/>
            <w:bookmarkStart w:id="540" w:name="_Toc161928725"/>
            <w:bookmarkStart w:id="541" w:name="_Toc130826171"/>
            <w:bookmarkStart w:id="542" w:name="_Toc137386448"/>
            <w:bookmarkStart w:id="543" w:name="_Toc121827789"/>
            <w:bookmarkStart w:id="544" w:name="_Toc121162908"/>
            <w:bookmarkStart w:id="545" w:name="_Toc153136110"/>
            <w:bookmarkStart w:id="546" w:name="_Toc137401328"/>
            <w:bookmarkStart w:id="547" w:name="_Toc120570116"/>
            <w:bookmarkStart w:id="548" w:name="_Toc163213947"/>
            <w:bookmarkStart w:id="549" w:name="_Toc153138310"/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>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Intermodulation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 xml:space="preserve"> characteristics for category NB1 and NB2</w:t>
            </w:r>
            <w:bookmarkEnd w:id="535"/>
            <w:bookmarkEnd w:id="536"/>
            <w:bookmarkEnd w:id="537"/>
            <w:bookmarkEnd w:id="538"/>
            <w:bookmarkEnd w:id="539"/>
            <w:bookmarkEnd w:id="540"/>
            <w:bookmarkEnd w:id="541"/>
            <w:bookmarkEnd w:id="542"/>
            <w:bookmarkEnd w:id="543"/>
            <w:bookmarkEnd w:id="544"/>
            <w:bookmarkEnd w:id="545"/>
            <w:bookmarkEnd w:id="546"/>
            <w:bookmarkEnd w:id="547"/>
            <w:bookmarkEnd w:id="548"/>
            <w:bookmarkEnd w:id="549"/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7.9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4: To use the proposals in Table 2.4-1 for UE RF requirements for the new IoT-NTN S-band.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In this contribution, we shared some views on 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system parameters and UE RF requirements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for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the new IoT-NTN S-band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and the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proposal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 are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made as follow</w:t>
      </w: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s</w:t>
      </w:r>
      <w: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>:</w:t>
      </w:r>
    </w:p>
    <w:p>
      <w:pPr>
        <w:rPr>
          <w:rFonts w:hint="default"/>
          <w:b/>
          <w:bCs/>
          <w:i w:val="0"/>
          <w:iCs w:val="0"/>
          <w:sz w:val="20"/>
          <w:szCs w:val="20"/>
          <w:lang w:val="en-US" w:eastAsia="zh-CN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 xml:space="preserve">Proposal 1: Operating band and band numbering for the new IoT-NTN FDD band can be defined as Table 2.1-1, and it supports UE categories NB1, NB2, M1. </w:t>
      </w:r>
    </w:p>
    <w:p>
      <w:pPr>
        <w:pStyle w:val="56"/>
        <w:rPr>
          <w:rFonts w:hint="eastAsia"/>
          <w:lang w:val="en-US"/>
        </w:rPr>
      </w:pPr>
      <w:r>
        <w:rPr>
          <w:rFonts w:hint="eastAsia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  <w:t xml:space="preserve"> </w:t>
      </w:r>
      <w:r>
        <w:t xml:space="preserve">Table </w:t>
      </w:r>
      <w:r>
        <w:rPr>
          <w:rFonts w:hint="eastAsia"/>
          <w:lang w:val="en-US" w:eastAsia="zh-CN"/>
        </w:rPr>
        <w:t>2.1</w:t>
      </w:r>
      <w:r>
        <w:t xml:space="preserve">-1: </w:t>
      </w:r>
      <w:r>
        <w:rPr>
          <w:rFonts w:hint="eastAsia"/>
          <w:lang w:val="en-US"/>
        </w:rPr>
        <w:t>E-UTRA operating bands for satellite access</w:t>
      </w:r>
    </w:p>
    <w:tbl>
      <w:tblPr>
        <w:tblStyle w:val="23"/>
        <w:tblW w:w="809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08"/>
        <w:gridCol w:w="1227"/>
        <w:gridCol w:w="517"/>
        <w:gridCol w:w="1175"/>
        <w:gridCol w:w="1243"/>
        <w:gridCol w:w="317"/>
        <w:gridCol w:w="1201"/>
        <w:gridCol w:w="9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E</w:t>
            </w:r>
            <w:r>
              <w:rPr>
                <w:rFonts w:cs="Arial"/>
              </w:rPr>
              <w:noBreakHyphen/>
            </w:r>
            <w:r>
              <w:rPr>
                <w:rFonts w:cs="Arial"/>
              </w:rPr>
              <w:t>UTRA Operating Band</w:t>
            </w: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Uplink (UL) operating band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BS receive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UE transmit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Downlink (DL) operating band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 xml:space="preserve">BS transmit </w:t>
            </w:r>
            <w:r>
              <w:rPr>
                <w:rFonts w:cs="Arial"/>
              </w:rPr>
              <w:br w:type="textWrapping"/>
            </w:r>
            <w:r>
              <w:rPr>
                <w:rFonts w:cs="Arial"/>
              </w:rPr>
              <w:t>UE receive</w:t>
            </w: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UL_low</w:t>
            </w:r>
            <w:r>
              <w:rPr>
                <w:rFonts w:cs="Arial"/>
              </w:rPr>
              <w:t xml:space="preserve">   –  F</w:t>
            </w:r>
            <w:r>
              <w:rPr>
                <w:rFonts w:cs="Arial"/>
                <w:vertAlign w:val="subscript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>DL_low</w:t>
            </w:r>
            <w:r>
              <w:rPr>
                <w:rFonts w:cs="Arial"/>
              </w:rPr>
              <w:t xml:space="preserve">  –  F</w:t>
            </w:r>
            <w:r>
              <w:rPr>
                <w:rFonts w:cs="Arial"/>
                <w:vertAlign w:val="subscript"/>
              </w:rPr>
              <w:t>DL_high</w:t>
            </w:r>
          </w:p>
        </w:tc>
        <w:tc>
          <w:tcPr>
            <w:tcW w:w="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</w:rPr>
            </w:pPr>
            <w:r>
              <w:rPr>
                <w:rFonts w:hint="eastAsia"/>
                <w:lang w:val="en-US" w:eastAsia="zh-CN"/>
              </w:rPr>
              <w:t>[252]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</w:tcPr>
          <w:p>
            <w:pPr>
              <w:pStyle w:val="80"/>
              <w:wordWrap w:val="0"/>
              <w:rPr>
                <w:rFonts w:cs="Arial"/>
                <w:lang w:eastAsia="zh-CN"/>
              </w:rPr>
            </w:pPr>
            <w:r>
              <w:rPr>
                <w:rFonts w:hint="eastAsia" w:cs="Arial"/>
                <w:lang w:val="en-US" w:eastAsia="zh-CN"/>
              </w:rPr>
              <w:t>200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5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–</w:t>
            </w:r>
          </w:p>
        </w:tc>
        <w:tc>
          <w:tcPr>
            <w:tcW w:w="11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  <w:r>
              <w:rPr>
                <w:rFonts w:hint="eastAsia" w:cs="Arial"/>
                <w:lang w:val="en-US" w:eastAsia="zh-CN"/>
              </w:rPr>
              <w:t>2</w:t>
            </w:r>
            <w:r>
              <w:rPr>
                <w:rFonts w:cs="Arial"/>
                <w:lang w:eastAsia="zh-CN"/>
              </w:rPr>
              <w:t>0 MHz</w:t>
            </w:r>
          </w:p>
        </w:tc>
        <w:tc>
          <w:tcPr>
            <w:tcW w:w="1243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80"/>
            </w:pPr>
            <w:r>
              <w:t>21</w:t>
            </w:r>
            <w:r>
              <w:rPr>
                <w:rFonts w:hint="eastAsia"/>
                <w:lang w:val="en-US" w:eastAsia="zh-CN"/>
              </w:rPr>
              <w:t>8</w:t>
            </w:r>
            <w:r>
              <w:t>0 MHz</w:t>
            </w:r>
          </w:p>
        </w:tc>
        <w:tc>
          <w:tcPr>
            <w:tcW w:w="317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>
            <w:pPr>
              <w:pStyle w:val="57"/>
            </w:pPr>
            <w:r>
              <w:t>–</w:t>
            </w:r>
          </w:p>
        </w:tc>
        <w:tc>
          <w:tcPr>
            <w:tcW w:w="120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pStyle w:val="58"/>
            </w:pPr>
            <w:r>
              <w:t>2200 MHz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cs="Arial"/>
                <w:lang w:eastAsia="ja-JP"/>
              </w:rPr>
            </w:pPr>
            <w:r>
              <w:rPr>
                <w:rFonts w:hint="eastAsia" w:cs="Arial"/>
                <w:lang w:eastAsia="ja-JP"/>
              </w:rPr>
              <w:t>FDD</w:t>
            </w:r>
          </w:p>
        </w:tc>
      </w:tr>
    </w:tbl>
    <w:p>
      <w:pPr>
        <w:rPr>
          <w:rFonts w:hint="default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2: EARFCN for category M1 for IoT-NTN band [252] can be defined as Table 2.2-1.</w:t>
      </w:r>
    </w:p>
    <w:p>
      <w:pPr>
        <w:pStyle w:val="56"/>
      </w:pPr>
      <w:r>
        <w:t>Table 2.</w:t>
      </w:r>
      <w:r>
        <w:rPr>
          <w:rFonts w:hint="eastAsia"/>
          <w:lang w:val="en-US" w:eastAsia="zh-CN"/>
        </w:rPr>
        <w:t>2</w:t>
      </w:r>
      <w:r>
        <w:t>-</w:t>
      </w:r>
      <w:r>
        <w:rPr>
          <w:rFonts w:hint="eastAsia"/>
          <w:lang w:val="en-US" w:eastAsia="zh-CN"/>
        </w:rPr>
        <w:t>1</w:t>
      </w:r>
      <w:r>
        <w:t>: E-UTRA channel numbers</w:t>
      </w:r>
    </w:p>
    <w:tbl>
      <w:tblPr>
        <w:tblStyle w:val="23"/>
        <w:tblW w:w="963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055"/>
        <w:gridCol w:w="1134"/>
        <w:gridCol w:w="1134"/>
        <w:gridCol w:w="1701"/>
        <w:gridCol w:w="1134"/>
        <w:gridCol w:w="850"/>
        <w:gridCol w:w="15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restart"/>
            <w:shd w:val="clear" w:color="auto" w:fill="auto"/>
            <w:vAlign w:val="bottom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E-UTRA Operating</w:t>
            </w:r>
          </w:p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Band</w:t>
            </w:r>
          </w:p>
        </w:tc>
        <w:tc>
          <w:tcPr>
            <w:tcW w:w="1055" w:type="dxa"/>
            <w:vMerge w:val="restart"/>
            <w:vAlign w:val="center"/>
          </w:tcPr>
          <w:p>
            <w:pPr>
              <w:pStyle w:val="65"/>
              <w:rPr>
                <w:rFonts w:cs="Arial"/>
              </w:rPr>
            </w:pPr>
            <w:r>
              <w:t>ΔF</w:t>
            </w:r>
            <w:r>
              <w:rPr>
                <w:vertAlign w:val="subscript"/>
              </w:rPr>
              <w:t>Raster</w:t>
            </w:r>
            <w:r>
              <w:t xml:space="preserve"> (kHz)</w:t>
            </w:r>
          </w:p>
        </w:tc>
        <w:tc>
          <w:tcPr>
            <w:tcW w:w="3969" w:type="dxa"/>
            <w:gridSpan w:val="3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Downlink</w:t>
            </w:r>
          </w:p>
        </w:tc>
        <w:tc>
          <w:tcPr>
            <w:tcW w:w="3540" w:type="dxa"/>
            <w:gridSpan w:val="3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continue"/>
            <w:shd w:val="clear" w:color="auto" w:fill="auto"/>
          </w:tcPr>
          <w:p>
            <w:pPr>
              <w:pStyle w:val="65"/>
              <w:rPr>
                <w:rFonts w:cs="Arial"/>
              </w:rPr>
            </w:pPr>
          </w:p>
        </w:tc>
        <w:tc>
          <w:tcPr>
            <w:tcW w:w="1055" w:type="dxa"/>
            <w:vMerge w:val="continue"/>
          </w:tcPr>
          <w:p>
            <w:pPr>
              <w:pStyle w:val="65"/>
              <w:rPr>
                <w:rFonts w:cs="Arial"/>
              </w:rPr>
            </w:pPr>
          </w:p>
        </w:tc>
        <w:tc>
          <w:tcPr>
            <w:tcW w:w="1134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DL_low </w:t>
            </w:r>
            <w:r>
              <w:rPr>
                <w:rFonts w:cs="Arial"/>
              </w:rPr>
              <w:t>(MHz)</w:t>
            </w:r>
          </w:p>
        </w:tc>
        <w:tc>
          <w:tcPr>
            <w:tcW w:w="1134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Offs-DL</w:t>
            </w:r>
          </w:p>
        </w:tc>
        <w:tc>
          <w:tcPr>
            <w:tcW w:w="1701" w:type="dxa"/>
          </w:tcPr>
          <w:p>
            <w:pPr>
              <w:pStyle w:val="65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Range of N</w:t>
            </w:r>
            <w:r>
              <w:rPr>
                <w:rFonts w:cs="Arial"/>
                <w:vertAlign w:val="subscript"/>
              </w:rPr>
              <w:t>DL</w:t>
            </w:r>
          </w:p>
          <w:p>
            <w:pPr>
              <w:pStyle w:val="65"/>
              <w:rPr>
                <w:rFonts w:cs="Arial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  <w:tc>
          <w:tcPr>
            <w:tcW w:w="1134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F</w:t>
            </w:r>
            <w:r>
              <w:rPr>
                <w:rFonts w:cs="Arial"/>
                <w:vertAlign w:val="subscript"/>
              </w:rPr>
              <w:t xml:space="preserve">UL_low </w:t>
            </w:r>
            <w:r>
              <w:rPr>
                <w:rFonts w:cs="Arial"/>
              </w:rPr>
              <w:t>(MHz)</w:t>
            </w:r>
          </w:p>
        </w:tc>
        <w:tc>
          <w:tcPr>
            <w:tcW w:w="850" w:type="dxa"/>
          </w:tcPr>
          <w:p>
            <w:pPr>
              <w:pStyle w:val="65"/>
              <w:rPr>
                <w:rFonts w:cs="Arial"/>
              </w:rPr>
            </w:pPr>
            <w:r>
              <w:rPr>
                <w:rFonts w:cs="Arial"/>
              </w:rPr>
              <w:t>N</w:t>
            </w:r>
            <w:r>
              <w:rPr>
                <w:rFonts w:cs="Arial"/>
                <w:vertAlign w:val="subscript"/>
              </w:rPr>
              <w:t>Offs-UL</w:t>
            </w:r>
          </w:p>
        </w:tc>
        <w:tc>
          <w:tcPr>
            <w:tcW w:w="1556" w:type="dxa"/>
          </w:tcPr>
          <w:p>
            <w:pPr>
              <w:pStyle w:val="65"/>
              <w:rPr>
                <w:rFonts w:cs="Arial"/>
                <w:vertAlign w:val="subscript"/>
              </w:rPr>
            </w:pPr>
            <w:r>
              <w:rPr>
                <w:rFonts w:cs="Arial"/>
              </w:rPr>
              <w:t>Range of N</w:t>
            </w:r>
            <w:r>
              <w:rPr>
                <w:rFonts w:cs="Arial"/>
                <w:vertAlign w:val="subscript"/>
              </w:rPr>
              <w:t>UL</w:t>
            </w:r>
          </w:p>
          <w:p>
            <w:pPr>
              <w:pStyle w:val="65"/>
              <w:rPr>
                <w:rFonts w:cs="Arial"/>
              </w:rPr>
            </w:pPr>
            <w:r>
              <w:rPr>
                <w:rFonts w:eastAsia="Yu Mincho"/>
              </w:rPr>
              <w:t>(First – &lt;Step size&gt; – Last)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</w:tcPr>
          <w:p>
            <w:pPr>
              <w:pStyle w:val="57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[</w:t>
            </w:r>
            <w:r>
              <w:rPr>
                <w:rFonts w:cs="Arial"/>
                <w:szCs w:val="18"/>
              </w:rPr>
              <w:t>25</w:t>
            </w:r>
            <w:r>
              <w:rPr>
                <w:rFonts w:hint="eastAsia" w:cs="Arial"/>
                <w:szCs w:val="18"/>
                <w:lang w:val="en-US" w:eastAsia="zh-CN"/>
              </w:rPr>
              <w:t>2]</w:t>
            </w:r>
          </w:p>
        </w:tc>
        <w:tc>
          <w:tcPr>
            <w:tcW w:w="1055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100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21</w:t>
            </w:r>
            <w:r>
              <w:rPr>
                <w:rFonts w:hint="eastAsia" w:cs="Arial"/>
                <w:szCs w:val="18"/>
                <w:lang w:val="en-US" w:eastAsia="zh-CN"/>
              </w:rPr>
              <w:t>8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228301</w:t>
            </w:r>
          </w:p>
        </w:tc>
        <w:tc>
          <w:tcPr>
            <w:tcW w:w="1701" w:type="dxa"/>
          </w:tcPr>
          <w:p>
            <w:pPr>
              <w:pStyle w:val="57"/>
              <w:rPr>
                <w:rFonts w:hint="default" w:eastAsia="宋体" w:cs="Arial"/>
                <w:szCs w:val="18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228301</w:t>
            </w:r>
            <w:r>
              <w:rPr>
                <w:rFonts w:cs="Arial"/>
                <w:szCs w:val="18"/>
              </w:rPr>
              <w:t xml:space="preserve"> –&lt;1&gt;- </w:t>
            </w:r>
            <w:r>
              <w:rPr>
                <w:rFonts w:hint="eastAsia" w:cs="Arial"/>
                <w:szCs w:val="18"/>
                <w:lang w:val="en-US" w:eastAsia="zh-CN"/>
              </w:rPr>
              <w:t>228500</w:t>
            </w:r>
          </w:p>
        </w:tc>
        <w:tc>
          <w:tcPr>
            <w:tcW w:w="1134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rPr>
                <w:rFonts w:hint="eastAsia" w:cs="Arial"/>
                <w:szCs w:val="18"/>
                <w:lang w:val="en-US" w:eastAsia="zh-CN"/>
              </w:rPr>
              <w:t>200</w:t>
            </w: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850" w:type="dxa"/>
          </w:tcPr>
          <w:p>
            <w:pPr>
              <w:pStyle w:val="57"/>
              <w:rPr>
                <w:rFonts w:cs="Arial"/>
                <w:szCs w:val="18"/>
              </w:rPr>
            </w:pPr>
            <w:r>
              <w:t>26</w:t>
            </w:r>
            <w:r>
              <w:rPr>
                <w:rFonts w:hint="eastAsia"/>
                <w:lang w:val="en-US" w:eastAsia="zh-CN"/>
              </w:rPr>
              <w:t>1069</w:t>
            </w:r>
          </w:p>
        </w:tc>
        <w:tc>
          <w:tcPr>
            <w:tcW w:w="1556" w:type="dxa"/>
          </w:tcPr>
          <w:p>
            <w:pPr>
              <w:pStyle w:val="57"/>
              <w:rPr>
                <w:rFonts w:hint="default" w:eastAsia="宋体"/>
                <w:szCs w:val="18"/>
                <w:lang w:val="en-US" w:eastAsia="zh-CN"/>
              </w:rPr>
            </w:pPr>
            <w:r>
              <w:t>26</w:t>
            </w:r>
            <w:r>
              <w:rPr>
                <w:rFonts w:hint="eastAsia"/>
                <w:lang w:val="en-US" w:eastAsia="zh-CN"/>
              </w:rPr>
              <w:t>1069</w:t>
            </w:r>
            <w:r>
              <w:rPr>
                <w:szCs w:val="18"/>
              </w:rPr>
              <w:t xml:space="preserve"> –&lt;1&gt;- </w:t>
            </w:r>
            <w:r>
              <w:rPr>
                <w:rFonts w:hint="eastAsia"/>
                <w:szCs w:val="18"/>
                <w:lang w:val="en-US" w:eastAsia="zh-CN"/>
              </w:rPr>
              <w:t>261268</w:t>
            </w:r>
          </w:p>
        </w:tc>
      </w:tr>
    </w:tbl>
    <w:p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3: The default TX-RX frequency separation for IoT-NTN band [252] should be defined as Table 2.3-1.</w:t>
      </w:r>
    </w:p>
    <w:p>
      <w:pPr>
        <w:pStyle w:val="56"/>
      </w:pPr>
      <w:r>
        <w:t xml:space="preserve">Table </w:t>
      </w:r>
      <w:r>
        <w:rPr>
          <w:rFonts w:hint="eastAsia"/>
          <w:lang w:val="en-US" w:eastAsia="zh-CN"/>
        </w:rPr>
        <w:t>2.3</w:t>
      </w:r>
      <w:r>
        <w:t xml:space="preserve">-1: </w:t>
      </w:r>
      <w:r>
        <w:rPr>
          <w:rFonts w:hint="eastAsia"/>
        </w:rPr>
        <w:t>Default UE TX-RX frequency separation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17"/>
        <w:gridCol w:w="269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817" w:type="dxa"/>
          </w:tcPr>
          <w:p>
            <w:pPr>
              <w:pStyle w:val="65"/>
            </w:pPr>
            <w:r>
              <w:t>NTN Satellite Operating Band</w:t>
            </w:r>
          </w:p>
        </w:tc>
        <w:tc>
          <w:tcPr>
            <w:tcW w:w="2693" w:type="dxa"/>
          </w:tcPr>
          <w:p>
            <w:pPr>
              <w:pStyle w:val="65"/>
            </w:pPr>
            <w:r>
              <w:t xml:space="preserve">TX </w:t>
            </w:r>
            <w:r>
              <w:rPr>
                <w:rFonts w:cs="v5.0.0"/>
              </w:rPr>
              <w:t>–</w:t>
            </w:r>
            <w:r>
              <w:t xml:space="preserve"> RX </w:t>
            </w:r>
            <w:r>
              <w:br w:type="textWrapping"/>
            </w:r>
            <w:r>
              <w:t>carrier centre frequency</w:t>
            </w:r>
            <w:r>
              <w:br w:type="textWrapping"/>
            </w:r>
            <w:r>
              <w:t>separation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[</w:t>
            </w:r>
            <w:r>
              <w:rPr>
                <w:lang w:val="en-US"/>
              </w:rPr>
              <w:t>25</w:t>
            </w:r>
            <w:r>
              <w:rPr>
                <w:rFonts w:hint="eastAsia"/>
                <w:lang w:val="en-US" w:eastAsia="zh-CN"/>
              </w:rPr>
              <w:t>2]</w:t>
            </w: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7"/>
            </w:pPr>
            <w:r>
              <w:rPr>
                <w:rFonts w:hint="eastAsia"/>
                <w:lang w:val="en-US"/>
              </w:rPr>
              <w:t>1</w:t>
            </w:r>
            <w:r>
              <w:rPr>
                <w:rFonts w:hint="eastAsia"/>
                <w:lang w:val="en-US" w:eastAsia="zh-CN"/>
              </w:rPr>
              <w:t>8</w:t>
            </w:r>
            <w:r>
              <w:rPr>
                <w:rFonts w:hint="eastAsia"/>
                <w:lang w:val="en-US"/>
              </w:rPr>
              <w:t>0 MHz</w:t>
            </w:r>
          </w:p>
        </w:tc>
      </w:tr>
    </w:tbl>
    <w:p>
      <w:pPr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r>
        <w:rPr>
          <w:rFonts w:hint="eastAsia"/>
          <w:b/>
          <w:bCs/>
          <w:i w:val="0"/>
          <w:iCs w:val="0"/>
          <w:sz w:val="20"/>
          <w:szCs w:val="20"/>
          <w:lang w:val="en-US" w:eastAsia="zh-CN"/>
        </w:rPr>
        <w:t>Proposal 4: To use the proposals in Table 2.4-1 for UE RF requirements for the new IoT-NTN S-band.</w:t>
      </w:r>
    </w:p>
    <w:p>
      <w:pPr>
        <w:jc w:val="center"/>
        <w:rPr>
          <w:rFonts w:hint="default"/>
          <w:b/>
          <w:bCs/>
          <w:lang w:val="en-US" w:eastAsia="zh-CN"/>
        </w:rPr>
      </w:pPr>
      <w:r>
        <w:rPr>
          <w:rFonts w:hint="eastAsia" w:cs="Times New Roman"/>
          <w:b/>
          <w:bCs/>
          <w:kern w:val="2"/>
          <w:sz w:val="20"/>
          <w:szCs w:val="20"/>
          <w:lang w:val="en-US" w:eastAsia="zh-CN" w:bidi="ar-SA"/>
        </w:rPr>
        <w:t>Table 2.4-1 UE RF requirements for the new IoT-NTN S-band</w:t>
      </w:r>
    </w:p>
    <w:tbl>
      <w:tblPr>
        <w:tblStyle w:val="23"/>
        <w:tblW w:w="0" w:type="auto"/>
        <w:tblInd w:w="0" w:type="dxa"/>
        <w:tblLayout w:type="autofit"/>
        <w:tblCellMar>
          <w:top w:w="0" w:type="dxa"/>
          <w:left w:w="70" w:type="dxa"/>
          <w:bottom w:w="0" w:type="dxa"/>
          <w:right w:w="70" w:type="dxa"/>
        </w:tblCellMar>
      </w:tblPr>
      <w:tblGrid>
        <w:gridCol w:w="4149"/>
        <w:gridCol w:w="5651"/>
      </w:tblGrid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NR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-NTN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 xml:space="preserve"> UE Tx/Rx requirement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fi-FI" w:bidi="ar-SA"/>
              </w:rPr>
              <w:t>Proposal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en-US" w:eastAsia="zh-CN" w:bidi="ar-SA"/>
              </w:rPr>
              <w:t>s</w:t>
            </w:r>
            <w:r>
              <w:rPr>
                <w:rFonts w:hint="eastAsia" w:ascii="Times New Roman" w:hAnsi="Times New Roman" w:eastAsia="宋体" w:cs="Times New Roman"/>
                <w:b/>
                <w:bCs/>
                <w:kern w:val="2"/>
                <w:sz w:val="20"/>
                <w:szCs w:val="20"/>
                <w:lang w:val="fi-FI" w:eastAsia="fi-FI" w:bidi="ar-SA"/>
              </w:rPr>
              <w:t xml:space="preserve"> for the new new IoT-NTN S-band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6.2A.1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UE maximum output power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Support UE Power Class 3 (+23dBm) and Power Class 5 (+20dBm).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31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zh-CN" w:eastAsia="fi-FI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6.2B.1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  <w:t xml:space="preserve">UE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maximum output power for category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zh-CN" w:eastAsia="fi-FI" w:bidi="ar-SA"/>
              </w:rPr>
              <w:t>NB1 and NB2</w:t>
            </w:r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6.2A.2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UE maximum output power reduction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6.2B.2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UE m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  <w:t xml:space="preserve">aximum output power reduction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for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zh-CN" w:bidi="ar-SA"/>
              </w:rPr>
              <w:t>category NB1 and NB2</w:t>
            </w:r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9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hint="default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>A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.3 A-MPR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 for category M1</w:t>
            </w:r>
            <w:r>
              <w:rPr>
                <w:rFonts w:hint="eastAsia"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UE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default" w:eastAsia="Times New Roman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A-MPR requirement for B23 can be reused for the new IoT-NTN S-band.</w:t>
            </w:r>
          </w:p>
          <w:p>
            <w:pPr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109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6.2B.3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A-MPR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 xml:space="preserve"> for category NB1 and NB2 UE</w:t>
            </w:r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eastAsia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6.2A.4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Configured transmitted Power for category M1</w:t>
            </w:r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62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6.2B.4</w:t>
            </w:r>
            <w:r>
              <w:rPr>
                <w:rFonts w:hint="eastAsia" w:eastAsia="宋体" w:cs="Times New Roman"/>
                <w:b w:val="0"/>
                <w:bCs/>
                <w:color w:val="000000"/>
                <w:kern w:val="2"/>
                <w:sz w:val="20"/>
                <w:szCs w:val="20"/>
                <w:lang w:val="en-US" w:eastAsia="zh-CN" w:bidi="ar-SA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  <w:t>Configured transmitted Power for category NB1 and NB2</w:t>
            </w:r>
          </w:p>
          <w:p>
            <w:pPr>
              <w:pStyle w:val="4"/>
              <w:numPr>
                <w:ilvl w:val="2"/>
                <w:numId w:val="0"/>
              </w:numPr>
              <w:ind w:leftChars="0" w:right="0" w:rightChars="0"/>
              <w:rPr>
                <w:rFonts w:ascii="Times New Roman" w:hAnsi="Times New Roman" w:eastAsia="Times New Roman" w:cs="Times New Roman"/>
                <w:b w:val="0"/>
                <w:bCs/>
                <w:color w:val="000000"/>
                <w:kern w:val="2"/>
                <w:sz w:val="20"/>
                <w:szCs w:val="20"/>
                <w:lang w:val="fi-FI" w:eastAsia="fi-FI" w:bidi="ar-SA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6.3A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Output power dynamics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6.3B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Output power dynamics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6.4A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Transmit signal quality for category M1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Transmit signal quality for category NB1 and NB2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6.4.2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Transmit modulation quality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t>6.5A.2</w:t>
            </w:r>
            <w:r>
              <w:tab/>
            </w:r>
            <w:r>
              <w:t>Occupied bandwidth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725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zh-TW"/>
              </w:rPr>
              <w:t>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Occupied bandwidth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6.5A.3.2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Spectrum emission mask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6.5B.3.2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Spectrum emission mask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6.5A.3.3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Spectrum Emission Mask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6.5B.3.3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Spectrum Emission Mask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6.5A.3.4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Leakage Ratio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6.5B.3.4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Leakage Ratio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6.5A.4.2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General spurious emissions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.4.2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General spurious emissions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6.5A.4.3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emission band UE co-existence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Specification impact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</w:t>
            </w:r>
          </w:p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Band 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[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2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52]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need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s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 xml:space="preserve"> to be 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add</w:t>
            </w:r>
            <w:r>
              <w:rPr>
                <w:rFonts w:eastAsia="Times New Roman"/>
                <w:color w:val="000000"/>
                <w:sz w:val="20"/>
                <w:szCs w:val="20"/>
                <w:highlight w:val="none"/>
                <w:lang w:eastAsia="fi-FI"/>
              </w:rPr>
              <w:t>ed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 xml:space="preserve"> in Table 6.5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A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.</w:t>
            </w:r>
            <w:r>
              <w:rPr>
                <w:rFonts w:hint="eastAsia"/>
                <w:color w:val="000000"/>
                <w:sz w:val="20"/>
                <w:szCs w:val="20"/>
                <w:highlight w:val="none"/>
                <w:lang w:val="en-US" w:eastAsia="zh-CN"/>
              </w:rPr>
              <w:t>4.3</w:t>
            </w:r>
            <w:r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  <w:t>-1.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.4.3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emission band UE co-existence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6.5A.4.4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spurious emissions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pecification impact.</w:t>
            </w:r>
          </w:p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Additional spurious emissions requirement for B23 can be reused for the new IoT-NTN S-band.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923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6.5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en-US" w:eastAsia="zh-CN"/>
              </w:rPr>
              <w:t>B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.4.4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ab/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Additional spurious emissions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6.6A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Transmit intermodulation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for category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M1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6.6B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 xml:space="preserve">Transmit intermodulation </w:t>
            </w: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for category NB1 and NB2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7.3A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Reference sensitivity power level for UE category M1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 xml:space="preserve">Band specific --&gt; Specification impact. 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7.3B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Reference sensitivity power level for UE category NB1 and NB2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Times New Roman"/>
                <w:color w:val="000000"/>
                <w:sz w:val="20"/>
                <w:szCs w:val="20"/>
                <w:lang w:val="fi-FI" w:eastAsia="fi-FI"/>
              </w:rPr>
              <w:t>Band specific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REFSENS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requirement for B23 can be reused for the new IoT-NTN S-band.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Maximum input level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7.4B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Maximum input level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Selectivity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default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58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7.5B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Adjacent Channel Selectivity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7.6A.2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In-band blocking requirements for category M1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Considering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efine in-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253, 254, 255, 256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7.6B.2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In-band blocking requirements for category NB1 and NB2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7.6A.3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Out-of-band blocking requirements for category M1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Specification impact --&gt;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Considering d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efine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out-of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-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>band blocking requirement similar to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band 253, 254, 255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7.6B.3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Out-of-band blocking requirements for category NB1 and NB2</w:t>
            </w: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7.6A.4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Narrow band blocking for category M1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en-US"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29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7.6B.4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Narrow band blocking for category NB1 and NB2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Not applicable.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response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eastAsia="fi-FI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7.7B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response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>A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Intermodulation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 xml:space="preserve"> characteristics for category M1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7.8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>B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Intermodulation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zh-CN"/>
              </w:rPr>
              <w:t xml:space="preserve"> characteristics for category NB1 and NB2</w:t>
            </w:r>
          </w:p>
        </w:tc>
        <w:tc>
          <w:tcPr>
            <w:tcW w:w="0" w:type="auto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</w:p>
        </w:tc>
      </w:tr>
      <w:tr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trHeight w:val="870" w:hRule="atLeast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>
            <w:pPr>
              <w:spacing w:after="0"/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7.9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 xml:space="preserve"> </w:t>
            </w:r>
            <w:r>
              <w:rPr>
                <w:rFonts w:eastAsia="Times New Roman"/>
                <w:color w:val="000000"/>
                <w:sz w:val="20"/>
                <w:szCs w:val="20"/>
                <w:lang w:val="fi-FI" w:eastAsia="fi-FI"/>
              </w:rPr>
              <w:t>Spurious emissions</w:t>
            </w:r>
          </w:p>
        </w:tc>
        <w:tc>
          <w:tcPr>
            <w:tcW w:w="0" w:type="auto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after="0"/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Not band specific</w:t>
            </w:r>
            <w:r>
              <w:rPr>
                <w:rFonts w:eastAsia="Times New Roman"/>
                <w:color w:val="000000"/>
                <w:sz w:val="20"/>
                <w:szCs w:val="20"/>
                <w:lang w:eastAsia="fi-FI"/>
              </w:rPr>
              <w:t xml:space="preserve"> --&gt; </w:t>
            </w:r>
            <w:r>
              <w:rPr>
                <w:rFonts w:hint="eastAsia" w:eastAsia="宋体"/>
                <w:color w:val="000000"/>
                <w:sz w:val="20"/>
                <w:szCs w:val="20"/>
                <w:lang w:val="en-US" w:eastAsia="zh-CN"/>
              </w:rPr>
              <w:t>No specification impact.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Lines="-2147483648" w:afterLines="-2147483648" w:line="240" w:lineRule="auto"/>
        <w:jc w:val="left"/>
        <w:textAlignment w:val="auto"/>
        <w:rPr>
          <w:rFonts w:hint="eastAsia" w:ascii="Times New Roman" w:hAnsi="Times New Roman" w:eastAsia="宋体" w:cs="Times New Roman"/>
          <w:b w:val="0"/>
          <w:bCs w:val="0"/>
          <w:kern w:val="0"/>
          <w:sz w:val="20"/>
          <w:szCs w:val="20"/>
          <w:highlight w:val="none"/>
          <w:lang w:val="en-US" w:eastAsia="zh-CN" w:bidi="ar-SA"/>
        </w:rPr>
      </w:pPr>
      <w:bookmarkStart w:id="550" w:name="_GoBack"/>
      <w:bookmarkEnd w:id="550"/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napToGrid/>
        <w:spacing w:beforeLines="0" w:after="120" w:afterLines="0"/>
        <w:jc w:val="left"/>
        <w:outlineLvl w:val="0"/>
        <w:rPr>
          <w:b/>
          <w:kern w:val="0"/>
          <w:sz w:val="28"/>
          <w:szCs w:val="28"/>
          <w:highlight w:val="none"/>
        </w:rPr>
      </w:pPr>
      <w:r>
        <w:rPr>
          <w:b/>
          <w:kern w:val="0"/>
          <w:sz w:val="28"/>
          <w:szCs w:val="28"/>
          <w:highlight w:val="none"/>
        </w:rPr>
        <w:t>4</w:t>
      </w:r>
      <w:r>
        <w:rPr>
          <w:rFonts w:hint="eastAsia"/>
          <w:b/>
          <w:kern w:val="0"/>
          <w:sz w:val="28"/>
          <w:szCs w:val="28"/>
          <w:highlight w:val="none"/>
          <w:lang w:val="en-US" w:eastAsia="zh-CN"/>
        </w:rPr>
        <w:t xml:space="preserve"> </w:t>
      </w:r>
      <w:r>
        <w:rPr>
          <w:b/>
          <w:kern w:val="0"/>
          <w:sz w:val="28"/>
          <w:szCs w:val="28"/>
          <w:highlight w:val="none"/>
        </w:rPr>
        <w:t>Reference</w:t>
      </w:r>
    </w:p>
    <w:p>
      <w:pPr>
        <w:keepNext/>
        <w:keepLines/>
        <w:pageBreakBefore w:val="0"/>
        <w:widowControl/>
        <w:numPr>
          <w:ilvl w:val="0"/>
          <w:numId w:val="8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/>
          <w:color w:val="auto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RP-241662, New WID on Introduction of IoT-NTN S-band (MSS band 2000-2020 MHz UL and 2180-2200 MHz DL), DISH Network et al.</w:t>
      </w:r>
    </w:p>
    <w:p>
      <w:pPr>
        <w:keepNext/>
        <w:keepLines/>
        <w:pageBreakBefore w:val="0"/>
        <w:widowControl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/>
        <w:keepLines/>
        <w:pageBreakBefore w:val="0"/>
        <w:widowControl/>
        <w:numPr>
          <w:ilvl w:val="-1"/>
          <w:numId w:val="0"/>
        </w:numPr>
        <w:tabs>
          <w:tab w:val="left" w:pos="90"/>
          <w:tab w:val="left" w:pos="1868"/>
          <w:tab w:val="right" w:pos="10648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53" w:beforeLines="0" w:afterLines="0" w:line="260" w:lineRule="auto"/>
        <w:jc w:val="left"/>
        <w:textAlignment w:val="auto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-1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-2147483648" w:afterLines="-2147483648" w:line="240" w:lineRule="auto"/>
        <w:jc w:val="center"/>
        <w:textAlignment w:val="auto"/>
        <w:rPr>
          <w:rFonts w:hint="default"/>
          <w:b/>
          <w:bCs/>
          <w:sz w:val="20"/>
          <w:szCs w:val="18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PS-ItalicMT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Yu Mincho">
    <w:altName w:val="Yu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6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6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7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6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5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31343BB7"/>
    <w:multiLevelType w:val="singleLevel"/>
    <w:tmpl w:val="31343BB7"/>
    <w:lvl w:ilvl="0" w:tentative="0">
      <w:start w:val="1"/>
      <w:numFmt w:val="decimal"/>
      <w:pStyle w:val="32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33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BAA8B4C"/>
    <w:multiLevelType w:val="multilevel"/>
    <w:tmpl w:val="5BAA8B4C"/>
    <w:lvl w:ilvl="0" w:tentative="0">
      <w:start w:val="1"/>
      <w:numFmt w:val="decimal"/>
      <w:pStyle w:val="31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4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5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6">
    <w:nsid w:val="5F723A5E"/>
    <w:multiLevelType w:val="singleLevel"/>
    <w:tmpl w:val="5F723A5E"/>
    <w:lvl w:ilvl="0" w:tentative="0">
      <w:start w:val="1"/>
      <w:numFmt w:val="decimal"/>
      <w:suff w:val="space"/>
      <w:lvlText w:val="[%1]"/>
      <w:lvlJc w:val="left"/>
    </w:lvl>
  </w:abstractNum>
  <w:abstractNum w:abstractNumId="7">
    <w:nsid w:val="6B5B4F67"/>
    <w:multiLevelType w:val="multilevel"/>
    <w:tmpl w:val="6B5B4F67"/>
    <w:lvl w:ilvl="0" w:tentative="0">
      <w:start w:val="1"/>
      <w:numFmt w:val="decimal"/>
      <w:pStyle w:val="12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7"/>
  </w:num>
  <w:num w:numId="3">
    <w:abstractNumId w:val="5"/>
  </w:num>
  <w:num w:numId="4">
    <w:abstractNumId w:val="3"/>
  </w:num>
  <w:num w:numId="5">
    <w:abstractNumId w:val="4"/>
  </w:num>
  <w:num w:numId="6">
    <w:abstractNumId w:val="1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328AB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486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5FAD"/>
    <w:rsid w:val="00AE71B6"/>
    <w:rsid w:val="00AF58D5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05C0B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3ED4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0FE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17306"/>
    <w:rsid w:val="01101B26"/>
    <w:rsid w:val="011A0B49"/>
    <w:rsid w:val="013E51BE"/>
    <w:rsid w:val="014A0623"/>
    <w:rsid w:val="01536583"/>
    <w:rsid w:val="0156475D"/>
    <w:rsid w:val="015D3EF3"/>
    <w:rsid w:val="016112D3"/>
    <w:rsid w:val="0165788D"/>
    <w:rsid w:val="01764F01"/>
    <w:rsid w:val="018107C9"/>
    <w:rsid w:val="0183684B"/>
    <w:rsid w:val="01854FE9"/>
    <w:rsid w:val="018A47AD"/>
    <w:rsid w:val="018E207B"/>
    <w:rsid w:val="0190283E"/>
    <w:rsid w:val="019C544F"/>
    <w:rsid w:val="019D155B"/>
    <w:rsid w:val="01A428BB"/>
    <w:rsid w:val="01AE307F"/>
    <w:rsid w:val="01B35169"/>
    <w:rsid w:val="01C00B7B"/>
    <w:rsid w:val="01CA1BB3"/>
    <w:rsid w:val="01D00B7E"/>
    <w:rsid w:val="01D46B8D"/>
    <w:rsid w:val="01D67ABF"/>
    <w:rsid w:val="01D866D8"/>
    <w:rsid w:val="01E251A8"/>
    <w:rsid w:val="01E54210"/>
    <w:rsid w:val="01EE2663"/>
    <w:rsid w:val="01F90434"/>
    <w:rsid w:val="01FB366B"/>
    <w:rsid w:val="01FD3930"/>
    <w:rsid w:val="02024A92"/>
    <w:rsid w:val="02042B52"/>
    <w:rsid w:val="021B7C87"/>
    <w:rsid w:val="022D4A6E"/>
    <w:rsid w:val="023512AC"/>
    <w:rsid w:val="023B0A39"/>
    <w:rsid w:val="023C78A7"/>
    <w:rsid w:val="023F3FD3"/>
    <w:rsid w:val="02444B7E"/>
    <w:rsid w:val="024A5964"/>
    <w:rsid w:val="024B023C"/>
    <w:rsid w:val="024C77E0"/>
    <w:rsid w:val="024D6B6A"/>
    <w:rsid w:val="024E43D4"/>
    <w:rsid w:val="02510B5E"/>
    <w:rsid w:val="02566C17"/>
    <w:rsid w:val="025C4BEF"/>
    <w:rsid w:val="026246A1"/>
    <w:rsid w:val="0262759F"/>
    <w:rsid w:val="02655431"/>
    <w:rsid w:val="027275A1"/>
    <w:rsid w:val="027371D9"/>
    <w:rsid w:val="0276366F"/>
    <w:rsid w:val="027F646E"/>
    <w:rsid w:val="027F64CF"/>
    <w:rsid w:val="02867DB1"/>
    <w:rsid w:val="028E6B5A"/>
    <w:rsid w:val="028F6D4C"/>
    <w:rsid w:val="02926AD9"/>
    <w:rsid w:val="02933CBB"/>
    <w:rsid w:val="02951DBD"/>
    <w:rsid w:val="02976D78"/>
    <w:rsid w:val="02983E12"/>
    <w:rsid w:val="029A69A7"/>
    <w:rsid w:val="029B04E7"/>
    <w:rsid w:val="02A10998"/>
    <w:rsid w:val="02AB0FBC"/>
    <w:rsid w:val="02AE6812"/>
    <w:rsid w:val="02D16C80"/>
    <w:rsid w:val="02DC3F9C"/>
    <w:rsid w:val="02E3105C"/>
    <w:rsid w:val="02E63DE2"/>
    <w:rsid w:val="02FB6CDA"/>
    <w:rsid w:val="03036B01"/>
    <w:rsid w:val="03052298"/>
    <w:rsid w:val="03073BDC"/>
    <w:rsid w:val="030A6B04"/>
    <w:rsid w:val="030B0647"/>
    <w:rsid w:val="030B2860"/>
    <w:rsid w:val="030C40C1"/>
    <w:rsid w:val="030D2F0B"/>
    <w:rsid w:val="03147E4E"/>
    <w:rsid w:val="03187492"/>
    <w:rsid w:val="031E429F"/>
    <w:rsid w:val="032F336F"/>
    <w:rsid w:val="03317AD0"/>
    <w:rsid w:val="033C68CE"/>
    <w:rsid w:val="033F734A"/>
    <w:rsid w:val="03403A5C"/>
    <w:rsid w:val="03445E8F"/>
    <w:rsid w:val="03496C64"/>
    <w:rsid w:val="035154D3"/>
    <w:rsid w:val="03527C38"/>
    <w:rsid w:val="0356746F"/>
    <w:rsid w:val="0360259A"/>
    <w:rsid w:val="036522E7"/>
    <w:rsid w:val="036E37C2"/>
    <w:rsid w:val="03746F87"/>
    <w:rsid w:val="037C6EF7"/>
    <w:rsid w:val="03814F5B"/>
    <w:rsid w:val="038B3141"/>
    <w:rsid w:val="03A77DFA"/>
    <w:rsid w:val="03B339B1"/>
    <w:rsid w:val="03C05350"/>
    <w:rsid w:val="03C1287B"/>
    <w:rsid w:val="03C36B0E"/>
    <w:rsid w:val="03C528EA"/>
    <w:rsid w:val="03CF67FA"/>
    <w:rsid w:val="03E120EA"/>
    <w:rsid w:val="03E358F3"/>
    <w:rsid w:val="03E84DE8"/>
    <w:rsid w:val="03EC63CD"/>
    <w:rsid w:val="04030035"/>
    <w:rsid w:val="04142BDC"/>
    <w:rsid w:val="04242D1B"/>
    <w:rsid w:val="04251A4C"/>
    <w:rsid w:val="042D2E97"/>
    <w:rsid w:val="04305EA0"/>
    <w:rsid w:val="04310833"/>
    <w:rsid w:val="04343921"/>
    <w:rsid w:val="04346443"/>
    <w:rsid w:val="043865BF"/>
    <w:rsid w:val="043A14AD"/>
    <w:rsid w:val="044C78D8"/>
    <w:rsid w:val="04537B11"/>
    <w:rsid w:val="04557675"/>
    <w:rsid w:val="04684A28"/>
    <w:rsid w:val="046C0EAE"/>
    <w:rsid w:val="04782230"/>
    <w:rsid w:val="0479507E"/>
    <w:rsid w:val="04894975"/>
    <w:rsid w:val="04922411"/>
    <w:rsid w:val="04A65723"/>
    <w:rsid w:val="04B14B03"/>
    <w:rsid w:val="04CF6607"/>
    <w:rsid w:val="04D46535"/>
    <w:rsid w:val="04DA1A87"/>
    <w:rsid w:val="04DC0F32"/>
    <w:rsid w:val="04DE2DA3"/>
    <w:rsid w:val="04DF3C0B"/>
    <w:rsid w:val="04EB6DF8"/>
    <w:rsid w:val="04FF1C94"/>
    <w:rsid w:val="04FF7D5A"/>
    <w:rsid w:val="0502349F"/>
    <w:rsid w:val="050C587A"/>
    <w:rsid w:val="050E7487"/>
    <w:rsid w:val="05161D2D"/>
    <w:rsid w:val="051B5DBA"/>
    <w:rsid w:val="0522500E"/>
    <w:rsid w:val="052E568F"/>
    <w:rsid w:val="05344105"/>
    <w:rsid w:val="053973F0"/>
    <w:rsid w:val="053E65E7"/>
    <w:rsid w:val="054B2F7A"/>
    <w:rsid w:val="0555228E"/>
    <w:rsid w:val="05595938"/>
    <w:rsid w:val="055A6B82"/>
    <w:rsid w:val="05636085"/>
    <w:rsid w:val="057D1D66"/>
    <w:rsid w:val="059D265F"/>
    <w:rsid w:val="059E1515"/>
    <w:rsid w:val="05AD1B88"/>
    <w:rsid w:val="05B92EC1"/>
    <w:rsid w:val="05D05BD2"/>
    <w:rsid w:val="05DB542B"/>
    <w:rsid w:val="05E078B3"/>
    <w:rsid w:val="05E942A3"/>
    <w:rsid w:val="05EA759F"/>
    <w:rsid w:val="05EE6827"/>
    <w:rsid w:val="0601277E"/>
    <w:rsid w:val="060C5AED"/>
    <w:rsid w:val="06103146"/>
    <w:rsid w:val="06172561"/>
    <w:rsid w:val="061E54DA"/>
    <w:rsid w:val="061E5E22"/>
    <w:rsid w:val="06223FD1"/>
    <w:rsid w:val="062846B3"/>
    <w:rsid w:val="062B2FCF"/>
    <w:rsid w:val="063F63E4"/>
    <w:rsid w:val="06460B91"/>
    <w:rsid w:val="0654187C"/>
    <w:rsid w:val="065475DE"/>
    <w:rsid w:val="06556C03"/>
    <w:rsid w:val="06676354"/>
    <w:rsid w:val="066E5330"/>
    <w:rsid w:val="06782F84"/>
    <w:rsid w:val="067C28D6"/>
    <w:rsid w:val="068A55C2"/>
    <w:rsid w:val="068E06BC"/>
    <w:rsid w:val="069201CB"/>
    <w:rsid w:val="06956E2E"/>
    <w:rsid w:val="06AC7765"/>
    <w:rsid w:val="06B62C91"/>
    <w:rsid w:val="06B741D9"/>
    <w:rsid w:val="06B756E7"/>
    <w:rsid w:val="06C457B6"/>
    <w:rsid w:val="06CA5532"/>
    <w:rsid w:val="06CD4A70"/>
    <w:rsid w:val="06DF4C13"/>
    <w:rsid w:val="06E7678C"/>
    <w:rsid w:val="06EC7519"/>
    <w:rsid w:val="06F42A88"/>
    <w:rsid w:val="06F801C0"/>
    <w:rsid w:val="070E5E48"/>
    <w:rsid w:val="07105178"/>
    <w:rsid w:val="0712124C"/>
    <w:rsid w:val="071C13A8"/>
    <w:rsid w:val="073D143C"/>
    <w:rsid w:val="074454BD"/>
    <w:rsid w:val="074855FD"/>
    <w:rsid w:val="07627CA0"/>
    <w:rsid w:val="076319C4"/>
    <w:rsid w:val="076925D2"/>
    <w:rsid w:val="077241E3"/>
    <w:rsid w:val="0781725F"/>
    <w:rsid w:val="078C5933"/>
    <w:rsid w:val="078D336C"/>
    <w:rsid w:val="07971B3F"/>
    <w:rsid w:val="07983294"/>
    <w:rsid w:val="079B3BB0"/>
    <w:rsid w:val="079F1838"/>
    <w:rsid w:val="07A2030D"/>
    <w:rsid w:val="07A5677E"/>
    <w:rsid w:val="07B51934"/>
    <w:rsid w:val="07B9290D"/>
    <w:rsid w:val="07BE52B9"/>
    <w:rsid w:val="07C55A1A"/>
    <w:rsid w:val="07CB1347"/>
    <w:rsid w:val="07D57946"/>
    <w:rsid w:val="07ED524D"/>
    <w:rsid w:val="07F065BC"/>
    <w:rsid w:val="080124E3"/>
    <w:rsid w:val="08030E27"/>
    <w:rsid w:val="080C7FA0"/>
    <w:rsid w:val="080F0F47"/>
    <w:rsid w:val="08193C24"/>
    <w:rsid w:val="082A7098"/>
    <w:rsid w:val="08334B3D"/>
    <w:rsid w:val="08341060"/>
    <w:rsid w:val="08732D34"/>
    <w:rsid w:val="08787FF0"/>
    <w:rsid w:val="087C4B7B"/>
    <w:rsid w:val="08824DF0"/>
    <w:rsid w:val="0889002B"/>
    <w:rsid w:val="089B79D9"/>
    <w:rsid w:val="08A44DA6"/>
    <w:rsid w:val="08AA245A"/>
    <w:rsid w:val="08AD2ACC"/>
    <w:rsid w:val="08BA6E24"/>
    <w:rsid w:val="08C024D5"/>
    <w:rsid w:val="08C562FD"/>
    <w:rsid w:val="08CA27B1"/>
    <w:rsid w:val="08E916DF"/>
    <w:rsid w:val="08F473EA"/>
    <w:rsid w:val="08FC0AA5"/>
    <w:rsid w:val="090E2F35"/>
    <w:rsid w:val="091B4FFA"/>
    <w:rsid w:val="092173F4"/>
    <w:rsid w:val="09262DE9"/>
    <w:rsid w:val="092F7300"/>
    <w:rsid w:val="09306537"/>
    <w:rsid w:val="09355076"/>
    <w:rsid w:val="09392119"/>
    <w:rsid w:val="09402C11"/>
    <w:rsid w:val="09445E95"/>
    <w:rsid w:val="094C1D4E"/>
    <w:rsid w:val="09543B3B"/>
    <w:rsid w:val="09600FBD"/>
    <w:rsid w:val="09664528"/>
    <w:rsid w:val="0972595C"/>
    <w:rsid w:val="098143BC"/>
    <w:rsid w:val="098500F1"/>
    <w:rsid w:val="0992510E"/>
    <w:rsid w:val="099D4D27"/>
    <w:rsid w:val="09B33AE4"/>
    <w:rsid w:val="09BD407A"/>
    <w:rsid w:val="09BF125C"/>
    <w:rsid w:val="09C12CF5"/>
    <w:rsid w:val="09D948FE"/>
    <w:rsid w:val="09DA0E26"/>
    <w:rsid w:val="09DB6437"/>
    <w:rsid w:val="09E55691"/>
    <w:rsid w:val="09F67CD5"/>
    <w:rsid w:val="0A054821"/>
    <w:rsid w:val="0A077A43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596130"/>
    <w:rsid w:val="0A627392"/>
    <w:rsid w:val="0A646846"/>
    <w:rsid w:val="0A6B3DAF"/>
    <w:rsid w:val="0A7B4D83"/>
    <w:rsid w:val="0A817CBD"/>
    <w:rsid w:val="0A8251CA"/>
    <w:rsid w:val="0A8828AB"/>
    <w:rsid w:val="0A927DC1"/>
    <w:rsid w:val="0A951165"/>
    <w:rsid w:val="0A9B4F7F"/>
    <w:rsid w:val="0A9C263A"/>
    <w:rsid w:val="0A9D54CD"/>
    <w:rsid w:val="0A9E3D3D"/>
    <w:rsid w:val="0AA077E0"/>
    <w:rsid w:val="0AA5327C"/>
    <w:rsid w:val="0AAF4447"/>
    <w:rsid w:val="0AC01F88"/>
    <w:rsid w:val="0AC0212C"/>
    <w:rsid w:val="0AC3085F"/>
    <w:rsid w:val="0AD542C1"/>
    <w:rsid w:val="0ADD5A20"/>
    <w:rsid w:val="0AE10FD9"/>
    <w:rsid w:val="0AF13898"/>
    <w:rsid w:val="0AFB3228"/>
    <w:rsid w:val="0AFC6C07"/>
    <w:rsid w:val="0AFD25E6"/>
    <w:rsid w:val="0AFF6A66"/>
    <w:rsid w:val="0B0130D7"/>
    <w:rsid w:val="0B0250FD"/>
    <w:rsid w:val="0B0F025C"/>
    <w:rsid w:val="0B1A6333"/>
    <w:rsid w:val="0B267BFC"/>
    <w:rsid w:val="0B2713F4"/>
    <w:rsid w:val="0B334367"/>
    <w:rsid w:val="0B3B1BC1"/>
    <w:rsid w:val="0B3B5196"/>
    <w:rsid w:val="0B3D701F"/>
    <w:rsid w:val="0B3E7DD7"/>
    <w:rsid w:val="0B491629"/>
    <w:rsid w:val="0B4B40F9"/>
    <w:rsid w:val="0B554398"/>
    <w:rsid w:val="0B561995"/>
    <w:rsid w:val="0B5C2C2A"/>
    <w:rsid w:val="0B6148D2"/>
    <w:rsid w:val="0B665E0A"/>
    <w:rsid w:val="0B680DC4"/>
    <w:rsid w:val="0B7C0E60"/>
    <w:rsid w:val="0B847B39"/>
    <w:rsid w:val="0B987E20"/>
    <w:rsid w:val="0B9E71DF"/>
    <w:rsid w:val="0BA65BCD"/>
    <w:rsid w:val="0BAD5CC5"/>
    <w:rsid w:val="0BAD5EDC"/>
    <w:rsid w:val="0BAF59B9"/>
    <w:rsid w:val="0BB524B8"/>
    <w:rsid w:val="0BB756DF"/>
    <w:rsid w:val="0BC63DB2"/>
    <w:rsid w:val="0BCC4043"/>
    <w:rsid w:val="0BCC4B6A"/>
    <w:rsid w:val="0BD72F33"/>
    <w:rsid w:val="0BE2291A"/>
    <w:rsid w:val="0C07043D"/>
    <w:rsid w:val="0C1E494F"/>
    <w:rsid w:val="0C3427D0"/>
    <w:rsid w:val="0C43327D"/>
    <w:rsid w:val="0C4426AF"/>
    <w:rsid w:val="0C453647"/>
    <w:rsid w:val="0C4577EC"/>
    <w:rsid w:val="0C4F3B0E"/>
    <w:rsid w:val="0C4F7881"/>
    <w:rsid w:val="0C5A77EA"/>
    <w:rsid w:val="0C5C6396"/>
    <w:rsid w:val="0C63431B"/>
    <w:rsid w:val="0C650A20"/>
    <w:rsid w:val="0C690EFA"/>
    <w:rsid w:val="0C6E11B8"/>
    <w:rsid w:val="0C723CD1"/>
    <w:rsid w:val="0C790B7E"/>
    <w:rsid w:val="0C7C294A"/>
    <w:rsid w:val="0C825F28"/>
    <w:rsid w:val="0C89028B"/>
    <w:rsid w:val="0C8B63A3"/>
    <w:rsid w:val="0CB94808"/>
    <w:rsid w:val="0CC146A9"/>
    <w:rsid w:val="0CC37BC2"/>
    <w:rsid w:val="0CD87ABE"/>
    <w:rsid w:val="0CE26C42"/>
    <w:rsid w:val="0CE632FF"/>
    <w:rsid w:val="0CE76B48"/>
    <w:rsid w:val="0CEB5DBE"/>
    <w:rsid w:val="0CFB523A"/>
    <w:rsid w:val="0D074D4A"/>
    <w:rsid w:val="0D0A3371"/>
    <w:rsid w:val="0D0C5764"/>
    <w:rsid w:val="0D181B98"/>
    <w:rsid w:val="0D1B1E9C"/>
    <w:rsid w:val="0D1C2E6E"/>
    <w:rsid w:val="0D4B44A1"/>
    <w:rsid w:val="0D6811B4"/>
    <w:rsid w:val="0D6E2620"/>
    <w:rsid w:val="0D704E21"/>
    <w:rsid w:val="0D7F48FE"/>
    <w:rsid w:val="0D883C88"/>
    <w:rsid w:val="0D8A6002"/>
    <w:rsid w:val="0D9074CF"/>
    <w:rsid w:val="0D936E72"/>
    <w:rsid w:val="0D966BF7"/>
    <w:rsid w:val="0DB54F84"/>
    <w:rsid w:val="0DB84465"/>
    <w:rsid w:val="0DC77C4D"/>
    <w:rsid w:val="0DCC3AE8"/>
    <w:rsid w:val="0DD87842"/>
    <w:rsid w:val="0DDB2C34"/>
    <w:rsid w:val="0DDE2885"/>
    <w:rsid w:val="0DEF012A"/>
    <w:rsid w:val="0DF202E1"/>
    <w:rsid w:val="0DF53CE3"/>
    <w:rsid w:val="0E0961C5"/>
    <w:rsid w:val="0E0C6AA6"/>
    <w:rsid w:val="0E147898"/>
    <w:rsid w:val="0E1C55FF"/>
    <w:rsid w:val="0E264DDB"/>
    <w:rsid w:val="0E2F216B"/>
    <w:rsid w:val="0E327317"/>
    <w:rsid w:val="0E3352C6"/>
    <w:rsid w:val="0E3A5EE2"/>
    <w:rsid w:val="0E542F3B"/>
    <w:rsid w:val="0E5757F7"/>
    <w:rsid w:val="0E591BF0"/>
    <w:rsid w:val="0E597FB8"/>
    <w:rsid w:val="0E6271DF"/>
    <w:rsid w:val="0E6438B9"/>
    <w:rsid w:val="0E78367D"/>
    <w:rsid w:val="0E81568A"/>
    <w:rsid w:val="0E903E3B"/>
    <w:rsid w:val="0E942250"/>
    <w:rsid w:val="0E963344"/>
    <w:rsid w:val="0E9E6E00"/>
    <w:rsid w:val="0EA40C1C"/>
    <w:rsid w:val="0EA95F66"/>
    <w:rsid w:val="0EAA759E"/>
    <w:rsid w:val="0EAF381F"/>
    <w:rsid w:val="0EB2766B"/>
    <w:rsid w:val="0EB72E4B"/>
    <w:rsid w:val="0ECE6156"/>
    <w:rsid w:val="0EEC6F1D"/>
    <w:rsid w:val="0F0621F6"/>
    <w:rsid w:val="0F103291"/>
    <w:rsid w:val="0F15660A"/>
    <w:rsid w:val="0F1D0EA6"/>
    <w:rsid w:val="0F1D498B"/>
    <w:rsid w:val="0F22242C"/>
    <w:rsid w:val="0F337178"/>
    <w:rsid w:val="0F3B15FC"/>
    <w:rsid w:val="0F41022A"/>
    <w:rsid w:val="0F56743B"/>
    <w:rsid w:val="0F60682C"/>
    <w:rsid w:val="0F661944"/>
    <w:rsid w:val="0F6763D9"/>
    <w:rsid w:val="0F715B2B"/>
    <w:rsid w:val="0F744211"/>
    <w:rsid w:val="0F764270"/>
    <w:rsid w:val="0F7F273F"/>
    <w:rsid w:val="0F7F7919"/>
    <w:rsid w:val="0F8418ED"/>
    <w:rsid w:val="0F8B3A90"/>
    <w:rsid w:val="0F957B47"/>
    <w:rsid w:val="0F98796C"/>
    <w:rsid w:val="0F9F6FA4"/>
    <w:rsid w:val="0FA20284"/>
    <w:rsid w:val="0FA65D5C"/>
    <w:rsid w:val="0FAA75F1"/>
    <w:rsid w:val="0FAD33DA"/>
    <w:rsid w:val="0FAD71D4"/>
    <w:rsid w:val="0FBE2A42"/>
    <w:rsid w:val="0FC17CCE"/>
    <w:rsid w:val="0FC424B9"/>
    <w:rsid w:val="0FCB3854"/>
    <w:rsid w:val="0FCC3C6A"/>
    <w:rsid w:val="0FD576BA"/>
    <w:rsid w:val="0FD70565"/>
    <w:rsid w:val="0FE928D1"/>
    <w:rsid w:val="0FEC680C"/>
    <w:rsid w:val="0FFD688F"/>
    <w:rsid w:val="0FFF0BF3"/>
    <w:rsid w:val="10007AD6"/>
    <w:rsid w:val="101B1E8A"/>
    <w:rsid w:val="101C4A03"/>
    <w:rsid w:val="101D0C86"/>
    <w:rsid w:val="10320BC0"/>
    <w:rsid w:val="104A023B"/>
    <w:rsid w:val="104B6A1B"/>
    <w:rsid w:val="10501493"/>
    <w:rsid w:val="10505F3B"/>
    <w:rsid w:val="10677613"/>
    <w:rsid w:val="106D2686"/>
    <w:rsid w:val="107407B6"/>
    <w:rsid w:val="107C3E2C"/>
    <w:rsid w:val="107D41AE"/>
    <w:rsid w:val="108C2479"/>
    <w:rsid w:val="10B3132B"/>
    <w:rsid w:val="10C715C5"/>
    <w:rsid w:val="10D335EF"/>
    <w:rsid w:val="10E255A6"/>
    <w:rsid w:val="10E746EA"/>
    <w:rsid w:val="10E83FE0"/>
    <w:rsid w:val="10EC3168"/>
    <w:rsid w:val="10F02A44"/>
    <w:rsid w:val="10F52718"/>
    <w:rsid w:val="10F70AE6"/>
    <w:rsid w:val="1106789A"/>
    <w:rsid w:val="11123EF8"/>
    <w:rsid w:val="11124F2E"/>
    <w:rsid w:val="11125358"/>
    <w:rsid w:val="111F38A5"/>
    <w:rsid w:val="111F6CBE"/>
    <w:rsid w:val="112D2A42"/>
    <w:rsid w:val="113A22DB"/>
    <w:rsid w:val="114028DC"/>
    <w:rsid w:val="11441C15"/>
    <w:rsid w:val="11583891"/>
    <w:rsid w:val="1159252B"/>
    <w:rsid w:val="1160765D"/>
    <w:rsid w:val="116F1EB0"/>
    <w:rsid w:val="11727495"/>
    <w:rsid w:val="117A242E"/>
    <w:rsid w:val="117B1D6A"/>
    <w:rsid w:val="117C2D9D"/>
    <w:rsid w:val="117F159E"/>
    <w:rsid w:val="11821DC9"/>
    <w:rsid w:val="11824A0F"/>
    <w:rsid w:val="11897A08"/>
    <w:rsid w:val="11921373"/>
    <w:rsid w:val="119A72EE"/>
    <w:rsid w:val="119D7849"/>
    <w:rsid w:val="11A615EE"/>
    <w:rsid w:val="11A658F4"/>
    <w:rsid w:val="11B16FA5"/>
    <w:rsid w:val="11B565C3"/>
    <w:rsid w:val="11B91A57"/>
    <w:rsid w:val="11BA3FAE"/>
    <w:rsid w:val="11BF25A0"/>
    <w:rsid w:val="11C67B8F"/>
    <w:rsid w:val="11CE730E"/>
    <w:rsid w:val="11D815C4"/>
    <w:rsid w:val="11D85BD5"/>
    <w:rsid w:val="11E57D4F"/>
    <w:rsid w:val="11EE7275"/>
    <w:rsid w:val="11F40833"/>
    <w:rsid w:val="11F92DAB"/>
    <w:rsid w:val="11FB6DE4"/>
    <w:rsid w:val="11FC38D5"/>
    <w:rsid w:val="11FD37F5"/>
    <w:rsid w:val="120F1E38"/>
    <w:rsid w:val="1210682D"/>
    <w:rsid w:val="122215D3"/>
    <w:rsid w:val="122510AD"/>
    <w:rsid w:val="122F0F93"/>
    <w:rsid w:val="123A05DB"/>
    <w:rsid w:val="124240B9"/>
    <w:rsid w:val="12491684"/>
    <w:rsid w:val="124D0988"/>
    <w:rsid w:val="124E44B4"/>
    <w:rsid w:val="126532DD"/>
    <w:rsid w:val="12680E73"/>
    <w:rsid w:val="12763466"/>
    <w:rsid w:val="127C144F"/>
    <w:rsid w:val="127E5AA6"/>
    <w:rsid w:val="12811F99"/>
    <w:rsid w:val="128B2749"/>
    <w:rsid w:val="128E1E81"/>
    <w:rsid w:val="129019B5"/>
    <w:rsid w:val="129811DB"/>
    <w:rsid w:val="129937EE"/>
    <w:rsid w:val="129E6282"/>
    <w:rsid w:val="129F3A3A"/>
    <w:rsid w:val="12AA7237"/>
    <w:rsid w:val="12AB7A32"/>
    <w:rsid w:val="12BB6535"/>
    <w:rsid w:val="12C7312B"/>
    <w:rsid w:val="12D22971"/>
    <w:rsid w:val="12D469A6"/>
    <w:rsid w:val="12D85654"/>
    <w:rsid w:val="12DF4A87"/>
    <w:rsid w:val="12E265EC"/>
    <w:rsid w:val="12E706B5"/>
    <w:rsid w:val="12EE5106"/>
    <w:rsid w:val="12F777F2"/>
    <w:rsid w:val="1307341C"/>
    <w:rsid w:val="130C40FE"/>
    <w:rsid w:val="130E3629"/>
    <w:rsid w:val="13125197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9011A"/>
    <w:rsid w:val="136D76E8"/>
    <w:rsid w:val="137266E0"/>
    <w:rsid w:val="13811975"/>
    <w:rsid w:val="138559AC"/>
    <w:rsid w:val="138F3C22"/>
    <w:rsid w:val="139D3156"/>
    <w:rsid w:val="13A50F41"/>
    <w:rsid w:val="13A825CD"/>
    <w:rsid w:val="13AA5FA1"/>
    <w:rsid w:val="13C20262"/>
    <w:rsid w:val="13D024B3"/>
    <w:rsid w:val="13D115EF"/>
    <w:rsid w:val="13D86A45"/>
    <w:rsid w:val="13DD445E"/>
    <w:rsid w:val="13DE7C83"/>
    <w:rsid w:val="13E20C66"/>
    <w:rsid w:val="13FD073F"/>
    <w:rsid w:val="14001419"/>
    <w:rsid w:val="140171D9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355342"/>
    <w:rsid w:val="144C1C02"/>
    <w:rsid w:val="144D63F0"/>
    <w:rsid w:val="145103FA"/>
    <w:rsid w:val="145F07C7"/>
    <w:rsid w:val="14601908"/>
    <w:rsid w:val="14632D00"/>
    <w:rsid w:val="146B69A8"/>
    <w:rsid w:val="146C5189"/>
    <w:rsid w:val="146F1089"/>
    <w:rsid w:val="14816B50"/>
    <w:rsid w:val="148313F4"/>
    <w:rsid w:val="1485665F"/>
    <w:rsid w:val="14934F1A"/>
    <w:rsid w:val="149559C4"/>
    <w:rsid w:val="149D71D6"/>
    <w:rsid w:val="149E3770"/>
    <w:rsid w:val="14A13FBC"/>
    <w:rsid w:val="14A67171"/>
    <w:rsid w:val="14AA71CB"/>
    <w:rsid w:val="14AC0C32"/>
    <w:rsid w:val="14B2463E"/>
    <w:rsid w:val="14B57287"/>
    <w:rsid w:val="14B602D5"/>
    <w:rsid w:val="14C45576"/>
    <w:rsid w:val="14C76D6C"/>
    <w:rsid w:val="14CE33C4"/>
    <w:rsid w:val="14D60E60"/>
    <w:rsid w:val="14DA3DA1"/>
    <w:rsid w:val="14E60B42"/>
    <w:rsid w:val="14E75E9B"/>
    <w:rsid w:val="14EA1C4D"/>
    <w:rsid w:val="14EF0267"/>
    <w:rsid w:val="14FB736A"/>
    <w:rsid w:val="150222BF"/>
    <w:rsid w:val="150F7C33"/>
    <w:rsid w:val="151178FC"/>
    <w:rsid w:val="1515004B"/>
    <w:rsid w:val="151B7C99"/>
    <w:rsid w:val="15207BBA"/>
    <w:rsid w:val="15222DA1"/>
    <w:rsid w:val="15256B65"/>
    <w:rsid w:val="152F4E1B"/>
    <w:rsid w:val="154806E1"/>
    <w:rsid w:val="154D342A"/>
    <w:rsid w:val="15581ED5"/>
    <w:rsid w:val="1559587F"/>
    <w:rsid w:val="155E7DEC"/>
    <w:rsid w:val="15740334"/>
    <w:rsid w:val="1574662E"/>
    <w:rsid w:val="15751882"/>
    <w:rsid w:val="1575191B"/>
    <w:rsid w:val="157818C6"/>
    <w:rsid w:val="159F73BB"/>
    <w:rsid w:val="15B03F28"/>
    <w:rsid w:val="15C15E25"/>
    <w:rsid w:val="15C42571"/>
    <w:rsid w:val="15E30A80"/>
    <w:rsid w:val="15F21B9E"/>
    <w:rsid w:val="15FD2FA2"/>
    <w:rsid w:val="16021A7C"/>
    <w:rsid w:val="1608480E"/>
    <w:rsid w:val="161C1C58"/>
    <w:rsid w:val="162B27CD"/>
    <w:rsid w:val="162D7415"/>
    <w:rsid w:val="162F7556"/>
    <w:rsid w:val="16347AD6"/>
    <w:rsid w:val="163814FD"/>
    <w:rsid w:val="163A6AD4"/>
    <w:rsid w:val="16413A3A"/>
    <w:rsid w:val="1644500C"/>
    <w:rsid w:val="16461A95"/>
    <w:rsid w:val="16594F06"/>
    <w:rsid w:val="165A38E6"/>
    <w:rsid w:val="166C5DB6"/>
    <w:rsid w:val="166F5E80"/>
    <w:rsid w:val="16751E7F"/>
    <w:rsid w:val="16766A92"/>
    <w:rsid w:val="167A52A9"/>
    <w:rsid w:val="167B20D8"/>
    <w:rsid w:val="167B7B40"/>
    <w:rsid w:val="167C6594"/>
    <w:rsid w:val="16833ACA"/>
    <w:rsid w:val="16866882"/>
    <w:rsid w:val="16872167"/>
    <w:rsid w:val="16895E32"/>
    <w:rsid w:val="168F3273"/>
    <w:rsid w:val="168F69F2"/>
    <w:rsid w:val="169865AE"/>
    <w:rsid w:val="169C7FDE"/>
    <w:rsid w:val="16A4319F"/>
    <w:rsid w:val="16AC4DDB"/>
    <w:rsid w:val="16AE2FE3"/>
    <w:rsid w:val="16B23908"/>
    <w:rsid w:val="16B4400E"/>
    <w:rsid w:val="16C16240"/>
    <w:rsid w:val="16C71372"/>
    <w:rsid w:val="16C739DF"/>
    <w:rsid w:val="16C86CDB"/>
    <w:rsid w:val="16DD3B26"/>
    <w:rsid w:val="16E73506"/>
    <w:rsid w:val="16EB6E00"/>
    <w:rsid w:val="16EE7649"/>
    <w:rsid w:val="16F04615"/>
    <w:rsid w:val="16FD2447"/>
    <w:rsid w:val="17031772"/>
    <w:rsid w:val="1712339A"/>
    <w:rsid w:val="171E63FC"/>
    <w:rsid w:val="1722504D"/>
    <w:rsid w:val="17306175"/>
    <w:rsid w:val="1738730F"/>
    <w:rsid w:val="17416499"/>
    <w:rsid w:val="17481B81"/>
    <w:rsid w:val="17481E8B"/>
    <w:rsid w:val="174A69B0"/>
    <w:rsid w:val="175007ED"/>
    <w:rsid w:val="175D7538"/>
    <w:rsid w:val="17605E9B"/>
    <w:rsid w:val="17611CB8"/>
    <w:rsid w:val="176B45C6"/>
    <w:rsid w:val="176C447F"/>
    <w:rsid w:val="17850F99"/>
    <w:rsid w:val="17875303"/>
    <w:rsid w:val="178815C4"/>
    <w:rsid w:val="17891C0B"/>
    <w:rsid w:val="178F2F4E"/>
    <w:rsid w:val="1793626E"/>
    <w:rsid w:val="17991452"/>
    <w:rsid w:val="17A875F5"/>
    <w:rsid w:val="17B5256D"/>
    <w:rsid w:val="17B52BE2"/>
    <w:rsid w:val="17B92501"/>
    <w:rsid w:val="17C809DF"/>
    <w:rsid w:val="17DE2FB7"/>
    <w:rsid w:val="17E47B20"/>
    <w:rsid w:val="17E65848"/>
    <w:rsid w:val="17E66DD8"/>
    <w:rsid w:val="17E84839"/>
    <w:rsid w:val="17EC68CC"/>
    <w:rsid w:val="17EE1403"/>
    <w:rsid w:val="17F25234"/>
    <w:rsid w:val="17F33DC6"/>
    <w:rsid w:val="17F45149"/>
    <w:rsid w:val="17FD061B"/>
    <w:rsid w:val="17FD20FD"/>
    <w:rsid w:val="17FF6314"/>
    <w:rsid w:val="18005F41"/>
    <w:rsid w:val="18025414"/>
    <w:rsid w:val="18171305"/>
    <w:rsid w:val="1820454C"/>
    <w:rsid w:val="1829280B"/>
    <w:rsid w:val="18334194"/>
    <w:rsid w:val="183E1D37"/>
    <w:rsid w:val="1840126B"/>
    <w:rsid w:val="1846724A"/>
    <w:rsid w:val="184A22E6"/>
    <w:rsid w:val="184D0787"/>
    <w:rsid w:val="185D1883"/>
    <w:rsid w:val="185E3AA1"/>
    <w:rsid w:val="185F15CF"/>
    <w:rsid w:val="18717152"/>
    <w:rsid w:val="18812331"/>
    <w:rsid w:val="18816F1C"/>
    <w:rsid w:val="18847050"/>
    <w:rsid w:val="18853F3E"/>
    <w:rsid w:val="188F3639"/>
    <w:rsid w:val="189252B6"/>
    <w:rsid w:val="18956393"/>
    <w:rsid w:val="189C5943"/>
    <w:rsid w:val="18A8582C"/>
    <w:rsid w:val="18B50543"/>
    <w:rsid w:val="18CA40C3"/>
    <w:rsid w:val="18CD7A02"/>
    <w:rsid w:val="18D904AC"/>
    <w:rsid w:val="18DC1AEF"/>
    <w:rsid w:val="18DF5689"/>
    <w:rsid w:val="18F74015"/>
    <w:rsid w:val="19001FFC"/>
    <w:rsid w:val="19083894"/>
    <w:rsid w:val="190E2B4A"/>
    <w:rsid w:val="19256D7A"/>
    <w:rsid w:val="193275C2"/>
    <w:rsid w:val="19342CF4"/>
    <w:rsid w:val="193A500F"/>
    <w:rsid w:val="193B3E86"/>
    <w:rsid w:val="19463A75"/>
    <w:rsid w:val="194D2005"/>
    <w:rsid w:val="19520B39"/>
    <w:rsid w:val="19655A52"/>
    <w:rsid w:val="19663168"/>
    <w:rsid w:val="197724BD"/>
    <w:rsid w:val="19786B0A"/>
    <w:rsid w:val="198A41A1"/>
    <w:rsid w:val="199A2059"/>
    <w:rsid w:val="19AE76C7"/>
    <w:rsid w:val="19B46E10"/>
    <w:rsid w:val="19C456C1"/>
    <w:rsid w:val="19E24986"/>
    <w:rsid w:val="19E256B5"/>
    <w:rsid w:val="19E54655"/>
    <w:rsid w:val="19F061A1"/>
    <w:rsid w:val="19F81E45"/>
    <w:rsid w:val="1A054259"/>
    <w:rsid w:val="1A081816"/>
    <w:rsid w:val="1A0C5680"/>
    <w:rsid w:val="1A165171"/>
    <w:rsid w:val="1A3068A4"/>
    <w:rsid w:val="1A410451"/>
    <w:rsid w:val="1A4858FF"/>
    <w:rsid w:val="1A4C698A"/>
    <w:rsid w:val="1A4D778D"/>
    <w:rsid w:val="1A5D5219"/>
    <w:rsid w:val="1A5E4B5A"/>
    <w:rsid w:val="1A672B1C"/>
    <w:rsid w:val="1A7070DD"/>
    <w:rsid w:val="1A805F1C"/>
    <w:rsid w:val="1A8301C0"/>
    <w:rsid w:val="1A872248"/>
    <w:rsid w:val="1A8824C5"/>
    <w:rsid w:val="1A9B2279"/>
    <w:rsid w:val="1A9D1677"/>
    <w:rsid w:val="1A9E6232"/>
    <w:rsid w:val="1AA57BA7"/>
    <w:rsid w:val="1AA74D3D"/>
    <w:rsid w:val="1AB34DB4"/>
    <w:rsid w:val="1AB45FB5"/>
    <w:rsid w:val="1AB613FD"/>
    <w:rsid w:val="1AB64B19"/>
    <w:rsid w:val="1AB73747"/>
    <w:rsid w:val="1AC03C10"/>
    <w:rsid w:val="1ACF5EB8"/>
    <w:rsid w:val="1AD26086"/>
    <w:rsid w:val="1ADD5ACE"/>
    <w:rsid w:val="1AE013F8"/>
    <w:rsid w:val="1AE8570C"/>
    <w:rsid w:val="1AF7297B"/>
    <w:rsid w:val="1AF97DCC"/>
    <w:rsid w:val="1AFB06A3"/>
    <w:rsid w:val="1B062896"/>
    <w:rsid w:val="1B0F19AE"/>
    <w:rsid w:val="1B141BBC"/>
    <w:rsid w:val="1B2160BB"/>
    <w:rsid w:val="1B3637AD"/>
    <w:rsid w:val="1B3E0DB5"/>
    <w:rsid w:val="1B454C94"/>
    <w:rsid w:val="1B454E69"/>
    <w:rsid w:val="1B5C1145"/>
    <w:rsid w:val="1B5D79CB"/>
    <w:rsid w:val="1B6B769D"/>
    <w:rsid w:val="1B6C0DF0"/>
    <w:rsid w:val="1B7F6005"/>
    <w:rsid w:val="1B874E63"/>
    <w:rsid w:val="1B982ED9"/>
    <w:rsid w:val="1B9C269A"/>
    <w:rsid w:val="1B9E64C5"/>
    <w:rsid w:val="1B9E6D4C"/>
    <w:rsid w:val="1BB07CEA"/>
    <w:rsid w:val="1BBD43BA"/>
    <w:rsid w:val="1BC01115"/>
    <w:rsid w:val="1BC44015"/>
    <w:rsid w:val="1BC96DA5"/>
    <w:rsid w:val="1BCA6284"/>
    <w:rsid w:val="1BCC6C47"/>
    <w:rsid w:val="1BE32C74"/>
    <w:rsid w:val="1BF72906"/>
    <w:rsid w:val="1BFB481C"/>
    <w:rsid w:val="1BFE5FF9"/>
    <w:rsid w:val="1BFE7B2D"/>
    <w:rsid w:val="1C013494"/>
    <w:rsid w:val="1C053414"/>
    <w:rsid w:val="1C132CB9"/>
    <w:rsid w:val="1C1642A1"/>
    <w:rsid w:val="1C2146C5"/>
    <w:rsid w:val="1C240174"/>
    <w:rsid w:val="1C273D33"/>
    <w:rsid w:val="1C4032AB"/>
    <w:rsid w:val="1C4672ED"/>
    <w:rsid w:val="1C467AB6"/>
    <w:rsid w:val="1C591347"/>
    <w:rsid w:val="1C6277A9"/>
    <w:rsid w:val="1C750818"/>
    <w:rsid w:val="1C7F54CE"/>
    <w:rsid w:val="1C7F743F"/>
    <w:rsid w:val="1C8C4AA9"/>
    <w:rsid w:val="1C8C604B"/>
    <w:rsid w:val="1C8F53D9"/>
    <w:rsid w:val="1C92160B"/>
    <w:rsid w:val="1C973EEF"/>
    <w:rsid w:val="1CA03243"/>
    <w:rsid w:val="1CAC112E"/>
    <w:rsid w:val="1CAF5DB2"/>
    <w:rsid w:val="1CB40DF1"/>
    <w:rsid w:val="1CB86812"/>
    <w:rsid w:val="1CC11084"/>
    <w:rsid w:val="1CC71DD3"/>
    <w:rsid w:val="1CCC26CA"/>
    <w:rsid w:val="1CD2156B"/>
    <w:rsid w:val="1CD41743"/>
    <w:rsid w:val="1CD44D3D"/>
    <w:rsid w:val="1CD77F43"/>
    <w:rsid w:val="1CE45EF5"/>
    <w:rsid w:val="1CE615C9"/>
    <w:rsid w:val="1CED1E7E"/>
    <w:rsid w:val="1D037029"/>
    <w:rsid w:val="1D0A6B98"/>
    <w:rsid w:val="1D227612"/>
    <w:rsid w:val="1D3305FF"/>
    <w:rsid w:val="1D395282"/>
    <w:rsid w:val="1D4251BA"/>
    <w:rsid w:val="1D5B2FF2"/>
    <w:rsid w:val="1D5F5386"/>
    <w:rsid w:val="1D70348C"/>
    <w:rsid w:val="1D7072CE"/>
    <w:rsid w:val="1D794A16"/>
    <w:rsid w:val="1D80759A"/>
    <w:rsid w:val="1D8A021B"/>
    <w:rsid w:val="1D9E30A9"/>
    <w:rsid w:val="1DAB1006"/>
    <w:rsid w:val="1DAB2A0A"/>
    <w:rsid w:val="1DB33C11"/>
    <w:rsid w:val="1DC65562"/>
    <w:rsid w:val="1DD34749"/>
    <w:rsid w:val="1DDD201B"/>
    <w:rsid w:val="1DE94164"/>
    <w:rsid w:val="1DEE1B11"/>
    <w:rsid w:val="1E105A20"/>
    <w:rsid w:val="1E164B52"/>
    <w:rsid w:val="1E26583C"/>
    <w:rsid w:val="1E273844"/>
    <w:rsid w:val="1E2F243E"/>
    <w:rsid w:val="1E3B4F6B"/>
    <w:rsid w:val="1E455D19"/>
    <w:rsid w:val="1E595CAF"/>
    <w:rsid w:val="1E5C31E8"/>
    <w:rsid w:val="1E6607F9"/>
    <w:rsid w:val="1E691070"/>
    <w:rsid w:val="1E7E6BFD"/>
    <w:rsid w:val="1E805396"/>
    <w:rsid w:val="1E821B53"/>
    <w:rsid w:val="1E884F62"/>
    <w:rsid w:val="1E8D685D"/>
    <w:rsid w:val="1E9D6342"/>
    <w:rsid w:val="1E9D6D15"/>
    <w:rsid w:val="1EA7402F"/>
    <w:rsid w:val="1EA77730"/>
    <w:rsid w:val="1EA80D43"/>
    <w:rsid w:val="1EBC3647"/>
    <w:rsid w:val="1EBD1EAD"/>
    <w:rsid w:val="1EC36E9D"/>
    <w:rsid w:val="1EE25FDD"/>
    <w:rsid w:val="1EEF7878"/>
    <w:rsid w:val="1EF5103F"/>
    <w:rsid w:val="1EF86BDC"/>
    <w:rsid w:val="1EFF621F"/>
    <w:rsid w:val="1F001DEB"/>
    <w:rsid w:val="1F090F9B"/>
    <w:rsid w:val="1F0A0088"/>
    <w:rsid w:val="1F0E5D6B"/>
    <w:rsid w:val="1F0F2943"/>
    <w:rsid w:val="1F1420D0"/>
    <w:rsid w:val="1F194C88"/>
    <w:rsid w:val="1F323C57"/>
    <w:rsid w:val="1F343977"/>
    <w:rsid w:val="1F3E662A"/>
    <w:rsid w:val="1F4D4715"/>
    <w:rsid w:val="1F4F2219"/>
    <w:rsid w:val="1F614D01"/>
    <w:rsid w:val="1F721405"/>
    <w:rsid w:val="1F77486F"/>
    <w:rsid w:val="1F935819"/>
    <w:rsid w:val="1FA036A3"/>
    <w:rsid w:val="1FA628A2"/>
    <w:rsid w:val="1FA6556D"/>
    <w:rsid w:val="1FAF2571"/>
    <w:rsid w:val="1FB33036"/>
    <w:rsid w:val="1FC55EDA"/>
    <w:rsid w:val="1FC658C9"/>
    <w:rsid w:val="1FCE593C"/>
    <w:rsid w:val="1FE312AC"/>
    <w:rsid w:val="1FEC5915"/>
    <w:rsid w:val="1FED32EF"/>
    <w:rsid w:val="1FF82884"/>
    <w:rsid w:val="201E6D7C"/>
    <w:rsid w:val="20446081"/>
    <w:rsid w:val="204852AD"/>
    <w:rsid w:val="204A5E48"/>
    <w:rsid w:val="204A6449"/>
    <w:rsid w:val="204E6676"/>
    <w:rsid w:val="20580C17"/>
    <w:rsid w:val="20595924"/>
    <w:rsid w:val="205A5AA0"/>
    <w:rsid w:val="206408C4"/>
    <w:rsid w:val="20773A28"/>
    <w:rsid w:val="208574F4"/>
    <w:rsid w:val="20872047"/>
    <w:rsid w:val="208C4449"/>
    <w:rsid w:val="208F6BAF"/>
    <w:rsid w:val="209414DB"/>
    <w:rsid w:val="20A462BA"/>
    <w:rsid w:val="20BF2AAC"/>
    <w:rsid w:val="20C849C7"/>
    <w:rsid w:val="20DF66D2"/>
    <w:rsid w:val="20EC3F2E"/>
    <w:rsid w:val="20EC7C3E"/>
    <w:rsid w:val="20F07537"/>
    <w:rsid w:val="20FA77BC"/>
    <w:rsid w:val="210548E9"/>
    <w:rsid w:val="210D14B3"/>
    <w:rsid w:val="21124D15"/>
    <w:rsid w:val="21164A79"/>
    <w:rsid w:val="211C7DEA"/>
    <w:rsid w:val="211F5FD2"/>
    <w:rsid w:val="213B13E1"/>
    <w:rsid w:val="213E7119"/>
    <w:rsid w:val="21401C29"/>
    <w:rsid w:val="21530058"/>
    <w:rsid w:val="21567D84"/>
    <w:rsid w:val="216608E3"/>
    <w:rsid w:val="21675117"/>
    <w:rsid w:val="21810744"/>
    <w:rsid w:val="218D6EF5"/>
    <w:rsid w:val="2195668B"/>
    <w:rsid w:val="219F69EC"/>
    <w:rsid w:val="21A130EA"/>
    <w:rsid w:val="21B405F8"/>
    <w:rsid w:val="21B5366A"/>
    <w:rsid w:val="21C267BF"/>
    <w:rsid w:val="21C67C42"/>
    <w:rsid w:val="21CB6217"/>
    <w:rsid w:val="21CD6BCD"/>
    <w:rsid w:val="21CE6067"/>
    <w:rsid w:val="21CF439A"/>
    <w:rsid w:val="21D824E4"/>
    <w:rsid w:val="21E35D49"/>
    <w:rsid w:val="21F00127"/>
    <w:rsid w:val="21F7745C"/>
    <w:rsid w:val="22035C75"/>
    <w:rsid w:val="221D2FA3"/>
    <w:rsid w:val="2226635F"/>
    <w:rsid w:val="222D4F0B"/>
    <w:rsid w:val="223A29CF"/>
    <w:rsid w:val="223D7545"/>
    <w:rsid w:val="224112C7"/>
    <w:rsid w:val="22411D14"/>
    <w:rsid w:val="22423BE1"/>
    <w:rsid w:val="22454449"/>
    <w:rsid w:val="22500810"/>
    <w:rsid w:val="22596EC8"/>
    <w:rsid w:val="226347BD"/>
    <w:rsid w:val="22682935"/>
    <w:rsid w:val="226E0A7E"/>
    <w:rsid w:val="227E0D30"/>
    <w:rsid w:val="227E7CD6"/>
    <w:rsid w:val="228A4698"/>
    <w:rsid w:val="22925971"/>
    <w:rsid w:val="22945167"/>
    <w:rsid w:val="229B0BE2"/>
    <w:rsid w:val="22A55CD5"/>
    <w:rsid w:val="22C558BB"/>
    <w:rsid w:val="22C74EE2"/>
    <w:rsid w:val="22CB6237"/>
    <w:rsid w:val="22CD14B5"/>
    <w:rsid w:val="22E02C6E"/>
    <w:rsid w:val="22E04FF4"/>
    <w:rsid w:val="22E1121B"/>
    <w:rsid w:val="22EA4C70"/>
    <w:rsid w:val="22F15AB9"/>
    <w:rsid w:val="22F75251"/>
    <w:rsid w:val="22F86F75"/>
    <w:rsid w:val="22FB4D32"/>
    <w:rsid w:val="22FC72E3"/>
    <w:rsid w:val="23131055"/>
    <w:rsid w:val="23146AC2"/>
    <w:rsid w:val="232C2DD6"/>
    <w:rsid w:val="233C6F76"/>
    <w:rsid w:val="234449F5"/>
    <w:rsid w:val="23536618"/>
    <w:rsid w:val="236C1BCA"/>
    <w:rsid w:val="237464D5"/>
    <w:rsid w:val="23816932"/>
    <w:rsid w:val="238E01E4"/>
    <w:rsid w:val="23925D42"/>
    <w:rsid w:val="239C062C"/>
    <w:rsid w:val="23A9484E"/>
    <w:rsid w:val="23B32F98"/>
    <w:rsid w:val="23B84268"/>
    <w:rsid w:val="23D17D7B"/>
    <w:rsid w:val="23D36D91"/>
    <w:rsid w:val="23E02099"/>
    <w:rsid w:val="23F70BA5"/>
    <w:rsid w:val="23F93D0D"/>
    <w:rsid w:val="2405417E"/>
    <w:rsid w:val="24197365"/>
    <w:rsid w:val="241B5C62"/>
    <w:rsid w:val="24312CB0"/>
    <w:rsid w:val="243A6CBE"/>
    <w:rsid w:val="24513B48"/>
    <w:rsid w:val="2458381E"/>
    <w:rsid w:val="245872F9"/>
    <w:rsid w:val="245943D9"/>
    <w:rsid w:val="245E6B64"/>
    <w:rsid w:val="2463385E"/>
    <w:rsid w:val="246B2606"/>
    <w:rsid w:val="24767C7B"/>
    <w:rsid w:val="247C178B"/>
    <w:rsid w:val="24861BCE"/>
    <w:rsid w:val="2486388F"/>
    <w:rsid w:val="24967323"/>
    <w:rsid w:val="249D5FC8"/>
    <w:rsid w:val="24A1538E"/>
    <w:rsid w:val="24B9450F"/>
    <w:rsid w:val="24C25350"/>
    <w:rsid w:val="24C83F94"/>
    <w:rsid w:val="24D82EE2"/>
    <w:rsid w:val="24E35BE2"/>
    <w:rsid w:val="24F60CDA"/>
    <w:rsid w:val="24FE42EB"/>
    <w:rsid w:val="25090336"/>
    <w:rsid w:val="250D450C"/>
    <w:rsid w:val="25134332"/>
    <w:rsid w:val="25141A5B"/>
    <w:rsid w:val="2521546A"/>
    <w:rsid w:val="252242ED"/>
    <w:rsid w:val="252A2BA6"/>
    <w:rsid w:val="252B49E0"/>
    <w:rsid w:val="252D3CC1"/>
    <w:rsid w:val="254A35DD"/>
    <w:rsid w:val="255D45FE"/>
    <w:rsid w:val="25657E8F"/>
    <w:rsid w:val="256658A2"/>
    <w:rsid w:val="25691F8B"/>
    <w:rsid w:val="256C13EF"/>
    <w:rsid w:val="256E76DE"/>
    <w:rsid w:val="25733F7D"/>
    <w:rsid w:val="25734B61"/>
    <w:rsid w:val="257632D6"/>
    <w:rsid w:val="25855673"/>
    <w:rsid w:val="258F6BC4"/>
    <w:rsid w:val="2597510C"/>
    <w:rsid w:val="25975923"/>
    <w:rsid w:val="259A3D0A"/>
    <w:rsid w:val="25A95F3E"/>
    <w:rsid w:val="25BD12A6"/>
    <w:rsid w:val="25BF0CF9"/>
    <w:rsid w:val="25BF6041"/>
    <w:rsid w:val="25C35718"/>
    <w:rsid w:val="25C61D8C"/>
    <w:rsid w:val="25CF0252"/>
    <w:rsid w:val="25D0248E"/>
    <w:rsid w:val="25D61C5C"/>
    <w:rsid w:val="25F81D70"/>
    <w:rsid w:val="25FB5636"/>
    <w:rsid w:val="25FE58A9"/>
    <w:rsid w:val="26006FFE"/>
    <w:rsid w:val="26026DCF"/>
    <w:rsid w:val="26070462"/>
    <w:rsid w:val="260A796C"/>
    <w:rsid w:val="260D2C45"/>
    <w:rsid w:val="261B63E3"/>
    <w:rsid w:val="262519C1"/>
    <w:rsid w:val="262E3CBF"/>
    <w:rsid w:val="26395C92"/>
    <w:rsid w:val="2641231E"/>
    <w:rsid w:val="264252DF"/>
    <w:rsid w:val="26465DA0"/>
    <w:rsid w:val="26562F1C"/>
    <w:rsid w:val="26577EF5"/>
    <w:rsid w:val="265A5249"/>
    <w:rsid w:val="265C53CB"/>
    <w:rsid w:val="266237C3"/>
    <w:rsid w:val="267550B9"/>
    <w:rsid w:val="26996DAE"/>
    <w:rsid w:val="26BE1846"/>
    <w:rsid w:val="26C472EC"/>
    <w:rsid w:val="26E51F4F"/>
    <w:rsid w:val="26E83216"/>
    <w:rsid w:val="26EC491A"/>
    <w:rsid w:val="26ED73E1"/>
    <w:rsid w:val="26F503CD"/>
    <w:rsid w:val="27036506"/>
    <w:rsid w:val="27047832"/>
    <w:rsid w:val="2706037D"/>
    <w:rsid w:val="27077793"/>
    <w:rsid w:val="270D152E"/>
    <w:rsid w:val="271436A9"/>
    <w:rsid w:val="27204B5D"/>
    <w:rsid w:val="27257DE1"/>
    <w:rsid w:val="272F31A0"/>
    <w:rsid w:val="27310CAC"/>
    <w:rsid w:val="27342901"/>
    <w:rsid w:val="273D2762"/>
    <w:rsid w:val="27470B72"/>
    <w:rsid w:val="27525E32"/>
    <w:rsid w:val="27604751"/>
    <w:rsid w:val="276621B4"/>
    <w:rsid w:val="276D111F"/>
    <w:rsid w:val="2778582E"/>
    <w:rsid w:val="27806765"/>
    <w:rsid w:val="27821DE7"/>
    <w:rsid w:val="27832596"/>
    <w:rsid w:val="278C1620"/>
    <w:rsid w:val="279B1E53"/>
    <w:rsid w:val="279C5F0C"/>
    <w:rsid w:val="279E0177"/>
    <w:rsid w:val="27AA3521"/>
    <w:rsid w:val="27AB7429"/>
    <w:rsid w:val="27B10D86"/>
    <w:rsid w:val="27C0656B"/>
    <w:rsid w:val="27C57B2B"/>
    <w:rsid w:val="27C8029E"/>
    <w:rsid w:val="27CC78AC"/>
    <w:rsid w:val="27D72FE7"/>
    <w:rsid w:val="27D86029"/>
    <w:rsid w:val="27DD45ED"/>
    <w:rsid w:val="27E3651B"/>
    <w:rsid w:val="27E864CC"/>
    <w:rsid w:val="27EC25E3"/>
    <w:rsid w:val="27ED0939"/>
    <w:rsid w:val="27F1498B"/>
    <w:rsid w:val="27F80CA0"/>
    <w:rsid w:val="28021134"/>
    <w:rsid w:val="2802750E"/>
    <w:rsid w:val="28027A71"/>
    <w:rsid w:val="281D5376"/>
    <w:rsid w:val="281F4F67"/>
    <w:rsid w:val="282857E6"/>
    <w:rsid w:val="283744B4"/>
    <w:rsid w:val="283E7768"/>
    <w:rsid w:val="28485D62"/>
    <w:rsid w:val="28517107"/>
    <w:rsid w:val="28524ABE"/>
    <w:rsid w:val="285560D7"/>
    <w:rsid w:val="286C77D1"/>
    <w:rsid w:val="286E74F1"/>
    <w:rsid w:val="28760CA0"/>
    <w:rsid w:val="287B218C"/>
    <w:rsid w:val="288A05DD"/>
    <w:rsid w:val="288C7637"/>
    <w:rsid w:val="28937D89"/>
    <w:rsid w:val="289B0550"/>
    <w:rsid w:val="28A044B5"/>
    <w:rsid w:val="28BD3F79"/>
    <w:rsid w:val="28C8606D"/>
    <w:rsid w:val="28C96C14"/>
    <w:rsid w:val="28DC6BC2"/>
    <w:rsid w:val="28DE11F1"/>
    <w:rsid w:val="28E138E3"/>
    <w:rsid w:val="28E74216"/>
    <w:rsid w:val="28E87EE4"/>
    <w:rsid w:val="28F61640"/>
    <w:rsid w:val="28FD484F"/>
    <w:rsid w:val="290212AC"/>
    <w:rsid w:val="2903396A"/>
    <w:rsid w:val="294E766A"/>
    <w:rsid w:val="2952590A"/>
    <w:rsid w:val="295545AF"/>
    <w:rsid w:val="29623F1E"/>
    <w:rsid w:val="297161D3"/>
    <w:rsid w:val="2978319A"/>
    <w:rsid w:val="29886D49"/>
    <w:rsid w:val="29897A2F"/>
    <w:rsid w:val="29A015B3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0500B"/>
    <w:rsid w:val="29E81C7D"/>
    <w:rsid w:val="29EC475A"/>
    <w:rsid w:val="29EF3680"/>
    <w:rsid w:val="29EF424E"/>
    <w:rsid w:val="29FA7F26"/>
    <w:rsid w:val="2A0B7871"/>
    <w:rsid w:val="2A166823"/>
    <w:rsid w:val="2A35650F"/>
    <w:rsid w:val="2A405845"/>
    <w:rsid w:val="2A4562D4"/>
    <w:rsid w:val="2A4D593F"/>
    <w:rsid w:val="2A575627"/>
    <w:rsid w:val="2A6C2D77"/>
    <w:rsid w:val="2A6E31F8"/>
    <w:rsid w:val="2A7270B7"/>
    <w:rsid w:val="2A824349"/>
    <w:rsid w:val="2A87174E"/>
    <w:rsid w:val="2A8A2F9C"/>
    <w:rsid w:val="2AA45D17"/>
    <w:rsid w:val="2AAB3B94"/>
    <w:rsid w:val="2AAC5A06"/>
    <w:rsid w:val="2AB22DE3"/>
    <w:rsid w:val="2AB369FC"/>
    <w:rsid w:val="2AB775FB"/>
    <w:rsid w:val="2ABB3D6F"/>
    <w:rsid w:val="2AC318D9"/>
    <w:rsid w:val="2AC70B30"/>
    <w:rsid w:val="2ACC2AAF"/>
    <w:rsid w:val="2ACD717C"/>
    <w:rsid w:val="2AD125DD"/>
    <w:rsid w:val="2AD74744"/>
    <w:rsid w:val="2AD91AC2"/>
    <w:rsid w:val="2AE57C95"/>
    <w:rsid w:val="2AF34B3D"/>
    <w:rsid w:val="2AF35C8B"/>
    <w:rsid w:val="2B055F4D"/>
    <w:rsid w:val="2B0C0EEE"/>
    <w:rsid w:val="2B112D02"/>
    <w:rsid w:val="2B132265"/>
    <w:rsid w:val="2B214776"/>
    <w:rsid w:val="2B2843BE"/>
    <w:rsid w:val="2B2A789A"/>
    <w:rsid w:val="2B313FC1"/>
    <w:rsid w:val="2B347C14"/>
    <w:rsid w:val="2B39348E"/>
    <w:rsid w:val="2B437285"/>
    <w:rsid w:val="2B494377"/>
    <w:rsid w:val="2B4D695C"/>
    <w:rsid w:val="2B514803"/>
    <w:rsid w:val="2B5E6C2A"/>
    <w:rsid w:val="2B63183E"/>
    <w:rsid w:val="2B637D4B"/>
    <w:rsid w:val="2B6B1684"/>
    <w:rsid w:val="2B7B70BF"/>
    <w:rsid w:val="2B853AF3"/>
    <w:rsid w:val="2B8B422C"/>
    <w:rsid w:val="2B950A36"/>
    <w:rsid w:val="2BA07D38"/>
    <w:rsid w:val="2BC40957"/>
    <w:rsid w:val="2BCA5C66"/>
    <w:rsid w:val="2BCB5DAA"/>
    <w:rsid w:val="2BD65380"/>
    <w:rsid w:val="2BD86372"/>
    <w:rsid w:val="2BDA39FD"/>
    <w:rsid w:val="2BE725D0"/>
    <w:rsid w:val="2BEF631E"/>
    <w:rsid w:val="2BF369B9"/>
    <w:rsid w:val="2BFC0A4A"/>
    <w:rsid w:val="2C094904"/>
    <w:rsid w:val="2C0E55A1"/>
    <w:rsid w:val="2C14030B"/>
    <w:rsid w:val="2C346DB5"/>
    <w:rsid w:val="2C3A7BF6"/>
    <w:rsid w:val="2C425BCE"/>
    <w:rsid w:val="2C44676A"/>
    <w:rsid w:val="2C495C38"/>
    <w:rsid w:val="2C4A080C"/>
    <w:rsid w:val="2C4E77B9"/>
    <w:rsid w:val="2C54533B"/>
    <w:rsid w:val="2C591378"/>
    <w:rsid w:val="2C722F9A"/>
    <w:rsid w:val="2C797A76"/>
    <w:rsid w:val="2C8B6C0E"/>
    <w:rsid w:val="2C8F4862"/>
    <w:rsid w:val="2C9E5AC8"/>
    <w:rsid w:val="2CA05674"/>
    <w:rsid w:val="2CA2721B"/>
    <w:rsid w:val="2CAC6D87"/>
    <w:rsid w:val="2CB23B2C"/>
    <w:rsid w:val="2CB268EE"/>
    <w:rsid w:val="2CB600FC"/>
    <w:rsid w:val="2CBE6567"/>
    <w:rsid w:val="2CCB6E18"/>
    <w:rsid w:val="2CCF5C52"/>
    <w:rsid w:val="2CE01F07"/>
    <w:rsid w:val="2CE8526F"/>
    <w:rsid w:val="2D024DC7"/>
    <w:rsid w:val="2D026315"/>
    <w:rsid w:val="2D0764BD"/>
    <w:rsid w:val="2D0A3DA2"/>
    <w:rsid w:val="2D0B3169"/>
    <w:rsid w:val="2D0D4219"/>
    <w:rsid w:val="2D105AFA"/>
    <w:rsid w:val="2D2279B8"/>
    <w:rsid w:val="2D274320"/>
    <w:rsid w:val="2D2D2DE2"/>
    <w:rsid w:val="2D3117D3"/>
    <w:rsid w:val="2D324CCC"/>
    <w:rsid w:val="2D340E86"/>
    <w:rsid w:val="2D395427"/>
    <w:rsid w:val="2D3A2269"/>
    <w:rsid w:val="2D3D0E02"/>
    <w:rsid w:val="2D510F65"/>
    <w:rsid w:val="2D5436FA"/>
    <w:rsid w:val="2D59263A"/>
    <w:rsid w:val="2D62469E"/>
    <w:rsid w:val="2D6B40A9"/>
    <w:rsid w:val="2D8A3FA2"/>
    <w:rsid w:val="2D954C68"/>
    <w:rsid w:val="2D9767DC"/>
    <w:rsid w:val="2D980DDC"/>
    <w:rsid w:val="2D987372"/>
    <w:rsid w:val="2DA23689"/>
    <w:rsid w:val="2DBC2A76"/>
    <w:rsid w:val="2DC66A91"/>
    <w:rsid w:val="2DC92AA1"/>
    <w:rsid w:val="2DCE5F69"/>
    <w:rsid w:val="2DD51812"/>
    <w:rsid w:val="2DD63DB4"/>
    <w:rsid w:val="2DDD4F0A"/>
    <w:rsid w:val="2E0F49FC"/>
    <w:rsid w:val="2E147A92"/>
    <w:rsid w:val="2E2D64A9"/>
    <w:rsid w:val="2E34792A"/>
    <w:rsid w:val="2E376AEB"/>
    <w:rsid w:val="2E437E73"/>
    <w:rsid w:val="2E4A5201"/>
    <w:rsid w:val="2E5034DC"/>
    <w:rsid w:val="2E572AB9"/>
    <w:rsid w:val="2E600E38"/>
    <w:rsid w:val="2E7258DC"/>
    <w:rsid w:val="2E746A0C"/>
    <w:rsid w:val="2E7545D2"/>
    <w:rsid w:val="2E79458E"/>
    <w:rsid w:val="2E797A78"/>
    <w:rsid w:val="2E7A5F31"/>
    <w:rsid w:val="2E7C6A94"/>
    <w:rsid w:val="2E8321A5"/>
    <w:rsid w:val="2E8475EF"/>
    <w:rsid w:val="2E8D14A8"/>
    <w:rsid w:val="2E95430E"/>
    <w:rsid w:val="2E9A2060"/>
    <w:rsid w:val="2E9F6D95"/>
    <w:rsid w:val="2EAE350B"/>
    <w:rsid w:val="2EB20A6C"/>
    <w:rsid w:val="2EBC2287"/>
    <w:rsid w:val="2EC3466D"/>
    <w:rsid w:val="2EC44440"/>
    <w:rsid w:val="2ECA3116"/>
    <w:rsid w:val="2EDD7896"/>
    <w:rsid w:val="2EEA6E65"/>
    <w:rsid w:val="2EF33C7C"/>
    <w:rsid w:val="2F00052B"/>
    <w:rsid w:val="2F0367CD"/>
    <w:rsid w:val="2F0F673C"/>
    <w:rsid w:val="2F1251F2"/>
    <w:rsid w:val="2F2D445E"/>
    <w:rsid w:val="2F4B20A5"/>
    <w:rsid w:val="2F4F6FBB"/>
    <w:rsid w:val="2F5A00E5"/>
    <w:rsid w:val="2F664E2B"/>
    <w:rsid w:val="2F6C7BE3"/>
    <w:rsid w:val="2F783485"/>
    <w:rsid w:val="2F7A17CB"/>
    <w:rsid w:val="2F7A78AC"/>
    <w:rsid w:val="2F7F5C0B"/>
    <w:rsid w:val="2F895685"/>
    <w:rsid w:val="2F9A13B4"/>
    <w:rsid w:val="2FA417BA"/>
    <w:rsid w:val="2FA6492D"/>
    <w:rsid w:val="2FC86676"/>
    <w:rsid w:val="2FD17A1B"/>
    <w:rsid w:val="2FD71CA4"/>
    <w:rsid w:val="2FDC432A"/>
    <w:rsid w:val="2FDC4A8D"/>
    <w:rsid w:val="2FE27109"/>
    <w:rsid w:val="2FEA743A"/>
    <w:rsid w:val="2FF24D11"/>
    <w:rsid w:val="2FF93066"/>
    <w:rsid w:val="301742B2"/>
    <w:rsid w:val="301A1509"/>
    <w:rsid w:val="301A71CE"/>
    <w:rsid w:val="301D63DD"/>
    <w:rsid w:val="301E049B"/>
    <w:rsid w:val="302A4BE6"/>
    <w:rsid w:val="304478EC"/>
    <w:rsid w:val="304F4511"/>
    <w:rsid w:val="30515C8E"/>
    <w:rsid w:val="305823FF"/>
    <w:rsid w:val="30830761"/>
    <w:rsid w:val="30926F91"/>
    <w:rsid w:val="30962F3E"/>
    <w:rsid w:val="30A85733"/>
    <w:rsid w:val="30AA2585"/>
    <w:rsid w:val="30C16A19"/>
    <w:rsid w:val="30C262B6"/>
    <w:rsid w:val="30C8744B"/>
    <w:rsid w:val="30CB5800"/>
    <w:rsid w:val="30D32236"/>
    <w:rsid w:val="30DB6CFA"/>
    <w:rsid w:val="30E43E12"/>
    <w:rsid w:val="30E53B71"/>
    <w:rsid w:val="30E8513F"/>
    <w:rsid w:val="30FA7530"/>
    <w:rsid w:val="30FF2795"/>
    <w:rsid w:val="31015E30"/>
    <w:rsid w:val="310375CD"/>
    <w:rsid w:val="310854C5"/>
    <w:rsid w:val="310E6387"/>
    <w:rsid w:val="311611B3"/>
    <w:rsid w:val="311F6A53"/>
    <w:rsid w:val="313C313D"/>
    <w:rsid w:val="313F6DC6"/>
    <w:rsid w:val="314E236F"/>
    <w:rsid w:val="315C5815"/>
    <w:rsid w:val="315E0B07"/>
    <w:rsid w:val="31621F46"/>
    <w:rsid w:val="316A723C"/>
    <w:rsid w:val="316E7CA0"/>
    <w:rsid w:val="317206BF"/>
    <w:rsid w:val="317932EA"/>
    <w:rsid w:val="317938E9"/>
    <w:rsid w:val="317E5000"/>
    <w:rsid w:val="31870868"/>
    <w:rsid w:val="31875BB4"/>
    <w:rsid w:val="31A9328B"/>
    <w:rsid w:val="31B718F2"/>
    <w:rsid w:val="31C57B88"/>
    <w:rsid w:val="31D20051"/>
    <w:rsid w:val="31DC626C"/>
    <w:rsid w:val="31E745D2"/>
    <w:rsid w:val="31EF7EE8"/>
    <w:rsid w:val="3201404F"/>
    <w:rsid w:val="320901F5"/>
    <w:rsid w:val="320B7CCB"/>
    <w:rsid w:val="32105DE8"/>
    <w:rsid w:val="32286907"/>
    <w:rsid w:val="322E2721"/>
    <w:rsid w:val="3235187E"/>
    <w:rsid w:val="3237186B"/>
    <w:rsid w:val="323B6798"/>
    <w:rsid w:val="32537B57"/>
    <w:rsid w:val="325779E7"/>
    <w:rsid w:val="325F618E"/>
    <w:rsid w:val="32757E99"/>
    <w:rsid w:val="327D43E5"/>
    <w:rsid w:val="32842CF3"/>
    <w:rsid w:val="328F2182"/>
    <w:rsid w:val="328F5534"/>
    <w:rsid w:val="329A6217"/>
    <w:rsid w:val="329A6ACE"/>
    <w:rsid w:val="329C2950"/>
    <w:rsid w:val="32A145CA"/>
    <w:rsid w:val="32A230DB"/>
    <w:rsid w:val="32B52836"/>
    <w:rsid w:val="32DF351E"/>
    <w:rsid w:val="32EE5E41"/>
    <w:rsid w:val="32F1510B"/>
    <w:rsid w:val="32F40F87"/>
    <w:rsid w:val="32F520B9"/>
    <w:rsid w:val="32FD7C76"/>
    <w:rsid w:val="330414AF"/>
    <w:rsid w:val="330C22FC"/>
    <w:rsid w:val="33231081"/>
    <w:rsid w:val="332A6617"/>
    <w:rsid w:val="33540E5D"/>
    <w:rsid w:val="335A0521"/>
    <w:rsid w:val="335D7182"/>
    <w:rsid w:val="335E7B11"/>
    <w:rsid w:val="335F2ADB"/>
    <w:rsid w:val="3364318B"/>
    <w:rsid w:val="33691888"/>
    <w:rsid w:val="336A499A"/>
    <w:rsid w:val="33714830"/>
    <w:rsid w:val="33737F51"/>
    <w:rsid w:val="3375654F"/>
    <w:rsid w:val="337964FF"/>
    <w:rsid w:val="337D34FB"/>
    <w:rsid w:val="337E2DAF"/>
    <w:rsid w:val="339C6DF8"/>
    <w:rsid w:val="33A47053"/>
    <w:rsid w:val="33AD5111"/>
    <w:rsid w:val="33BF4199"/>
    <w:rsid w:val="33CD23A8"/>
    <w:rsid w:val="33CD6498"/>
    <w:rsid w:val="33D7554F"/>
    <w:rsid w:val="33D825FA"/>
    <w:rsid w:val="33DB2AB1"/>
    <w:rsid w:val="33FE62E7"/>
    <w:rsid w:val="34080399"/>
    <w:rsid w:val="340D25F6"/>
    <w:rsid w:val="34161D6C"/>
    <w:rsid w:val="341E19AD"/>
    <w:rsid w:val="3429226D"/>
    <w:rsid w:val="342B76C7"/>
    <w:rsid w:val="343A1527"/>
    <w:rsid w:val="34447898"/>
    <w:rsid w:val="344E62FA"/>
    <w:rsid w:val="34542DE9"/>
    <w:rsid w:val="34542E46"/>
    <w:rsid w:val="346C4879"/>
    <w:rsid w:val="346D7DEA"/>
    <w:rsid w:val="3472234D"/>
    <w:rsid w:val="34744A71"/>
    <w:rsid w:val="347D500F"/>
    <w:rsid w:val="34830157"/>
    <w:rsid w:val="34872D27"/>
    <w:rsid w:val="348E58C4"/>
    <w:rsid w:val="349164BD"/>
    <w:rsid w:val="3495237E"/>
    <w:rsid w:val="3499657C"/>
    <w:rsid w:val="34A52713"/>
    <w:rsid w:val="34BD02AE"/>
    <w:rsid w:val="34BD32A6"/>
    <w:rsid w:val="34BE1B67"/>
    <w:rsid w:val="34C20DC7"/>
    <w:rsid w:val="34DA26A8"/>
    <w:rsid w:val="34DE2B9F"/>
    <w:rsid w:val="34DF0124"/>
    <w:rsid w:val="34E145D2"/>
    <w:rsid w:val="34E75EA5"/>
    <w:rsid w:val="34E960F1"/>
    <w:rsid w:val="34EE6187"/>
    <w:rsid w:val="350A65C4"/>
    <w:rsid w:val="350B42D5"/>
    <w:rsid w:val="350F6258"/>
    <w:rsid w:val="351A603C"/>
    <w:rsid w:val="352821F6"/>
    <w:rsid w:val="3533698A"/>
    <w:rsid w:val="35387F19"/>
    <w:rsid w:val="3539550B"/>
    <w:rsid w:val="354319AA"/>
    <w:rsid w:val="354D5E0E"/>
    <w:rsid w:val="355D10E3"/>
    <w:rsid w:val="356150BC"/>
    <w:rsid w:val="356678B4"/>
    <w:rsid w:val="3573649F"/>
    <w:rsid w:val="35774602"/>
    <w:rsid w:val="357B75AF"/>
    <w:rsid w:val="357E4B0A"/>
    <w:rsid w:val="35866D7F"/>
    <w:rsid w:val="358F6BDF"/>
    <w:rsid w:val="35917C0B"/>
    <w:rsid w:val="35A26AC9"/>
    <w:rsid w:val="35A440D7"/>
    <w:rsid w:val="35C06D50"/>
    <w:rsid w:val="35CD6F14"/>
    <w:rsid w:val="35D24294"/>
    <w:rsid w:val="35D71152"/>
    <w:rsid w:val="35F629BD"/>
    <w:rsid w:val="35FF6F3C"/>
    <w:rsid w:val="3600359A"/>
    <w:rsid w:val="36075F27"/>
    <w:rsid w:val="36121506"/>
    <w:rsid w:val="36180A4A"/>
    <w:rsid w:val="361D7A43"/>
    <w:rsid w:val="361E658D"/>
    <w:rsid w:val="361F3323"/>
    <w:rsid w:val="363019EB"/>
    <w:rsid w:val="36326D0C"/>
    <w:rsid w:val="36402EFA"/>
    <w:rsid w:val="36496A51"/>
    <w:rsid w:val="364F7CD0"/>
    <w:rsid w:val="36535FD0"/>
    <w:rsid w:val="365623F6"/>
    <w:rsid w:val="366B1251"/>
    <w:rsid w:val="366C7E67"/>
    <w:rsid w:val="368230C6"/>
    <w:rsid w:val="36843A03"/>
    <w:rsid w:val="368F7E4F"/>
    <w:rsid w:val="36985297"/>
    <w:rsid w:val="369F633B"/>
    <w:rsid w:val="36A30FDB"/>
    <w:rsid w:val="36A7007C"/>
    <w:rsid w:val="36AB07EC"/>
    <w:rsid w:val="36B24AE8"/>
    <w:rsid w:val="36BD0DC4"/>
    <w:rsid w:val="36D51D00"/>
    <w:rsid w:val="36D66B5E"/>
    <w:rsid w:val="36D86634"/>
    <w:rsid w:val="36DE4AF9"/>
    <w:rsid w:val="36E410A4"/>
    <w:rsid w:val="36E93760"/>
    <w:rsid w:val="36F4550C"/>
    <w:rsid w:val="36FB4305"/>
    <w:rsid w:val="3708597F"/>
    <w:rsid w:val="3709624C"/>
    <w:rsid w:val="37096815"/>
    <w:rsid w:val="370F7060"/>
    <w:rsid w:val="37134801"/>
    <w:rsid w:val="37173233"/>
    <w:rsid w:val="371C344E"/>
    <w:rsid w:val="37226558"/>
    <w:rsid w:val="3734159D"/>
    <w:rsid w:val="37382526"/>
    <w:rsid w:val="373B4C89"/>
    <w:rsid w:val="37503E6C"/>
    <w:rsid w:val="3758590A"/>
    <w:rsid w:val="375E77B2"/>
    <w:rsid w:val="37602E60"/>
    <w:rsid w:val="37611796"/>
    <w:rsid w:val="37625C1C"/>
    <w:rsid w:val="377519F1"/>
    <w:rsid w:val="377B528D"/>
    <w:rsid w:val="377D206E"/>
    <w:rsid w:val="377D4DA8"/>
    <w:rsid w:val="378229A7"/>
    <w:rsid w:val="3784394E"/>
    <w:rsid w:val="37946975"/>
    <w:rsid w:val="37987437"/>
    <w:rsid w:val="379F33FC"/>
    <w:rsid w:val="37A432E4"/>
    <w:rsid w:val="37A86196"/>
    <w:rsid w:val="37C94031"/>
    <w:rsid w:val="37CA042E"/>
    <w:rsid w:val="37CA2635"/>
    <w:rsid w:val="37D44549"/>
    <w:rsid w:val="37D77B09"/>
    <w:rsid w:val="37D931A8"/>
    <w:rsid w:val="37D97EDE"/>
    <w:rsid w:val="37E76E34"/>
    <w:rsid w:val="380632B2"/>
    <w:rsid w:val="380D02B1"/>
    <w:rsid w:val="38190834"/>
    <w:rsid w:val="381C3EB1"/>
    <w:rsid w:val="381E409C"/>
    <w:rsid w:val="382B1BDF"/>
    <w:rsid w:val="382E392C"/>
    <w:rsid w:val="38310B25"/>
    <w:rsid w:val="38325D99"/>
    <w:rsid w:val="38342E90"/>
    <w:rsid w:val="38451B7E"/>
    <w:rsid w:val="384B7332"/>
    <w:rsid w:val="384E20F8"/>
    <w:rsid w:val="385056AF"/>
    <w:rsid w:val="386A7142"/>
    <w:rsid w:val="386E0B2C"/>
    <w:rsid w:val="38706DCB"/>
    <w:rsid w:val="387E793E"/>
    <w:rsid w:val="388E5848"/>
    <w:rsid w:val="389E7B13"/>
    <w:rsid w:val="38A341A7"/>
    <w:rsid w:val="38AF6B7E"/>
    <w:rsid w:val="38BD240C"/>
    <w:rsid w:val="38BD31EE"/>
    <w:rsid w:val="38C05985"/>
    <w:rsid w:val="38C2629A"/>
    <w:rsid w:val="38CB3BDF"/>
    <w:rsid w:val="38CD22F1"/>
    <w:rsid w:val="38D33D29"/>
    <w:rsid w:val="38D41CCF"/>
    <w:rsid w:val="38E40A5B"/>
    <w:rsid w:val="38E51952"/>
    <w:rsid w:val="38F16A28"/>
    <w:rsid w:val="390A5C59"/>
    <w:rsid w:val="3913128B"/>
    <w:rsid w:val="391A3359"/>
    <w:rsid w:val="39285D57"/>
    <w:rsid w:val="39315D4D"/>
    <w:rsid w:val="394B6470"/>
    <w:rsid w:val="395C6EA8"/>
    <w:rsid w:val="397B3662"/>
    <w:rsid w:val="39872512"/>
    <w:rsid w:val="39A602F9"/>
    <w:rsid w:val="39BD45C8"/>
    <w:rsid w:val="39C2316A"/>
    <w:rsid w:val="39F36281"/>
    <w:rsid w:val="39FD376D"/>
    <w:rsid w:val="39FD6C9C"/>
    <w:rsid w:val="39FF6B36"/>
    <w:rsid w:val="3A0224B9"/>
    <w:rsid w:val="3A0526B5"/>
    <w:rsid w:val="3A14011B"/>
    <w:rsid w:val="3A1509F4"/>
    <w:rsid w:val="3A16728B"/>
    <w:rsid w:val="3A16794C"/>
    <w:rsid w:val="3A1F6809"/>
    <w:rsid w:val="3A226969"/>
    <w:rsid w:val="3A3F47CE"/>
    <w:rsid w:val="3A410243"/>
    <w:rsid w:val="3A4E1C5D"/>
    <w:rsid w:val="3A523735"/>
    <w:rsid w:val="3A557AE4"/>
    <w:rsid w:val="3A6B0F84"/>
    <w:rsid w:val="3A727435"/>
    <w:rsid w:val="3A813EA6"/>
    <w:rsid w:val="3A94055A"/>
    <w:rsid w:val="3AB00167"/>
    <w:rsid w:val="3AC17E3A"/>
    <w:rsid w:val="3ACB5746"/>
    <w:rsid w:val="3ACE209E"/>
    <w:rsid w:val="3AD450E7"/>
    <w:rsid w:val="3ADD2B05"/>
    <w:rsid w:val="3ADE046A"/>
    <w:rsid w:val="3AE36EC1"/>
    <w:rsid w:val="3AE417E3"/>
    <w:rsid w:val="3AE440AF"/>
    <w:rsid w:val="3AF7667E"/>
    <w:rsid w:val="3B113F51"/>
    <w:rsid w:val="3B192990"/>
    <w:rsid w:val="3B251957"/>
    <w:rsid w:val="3B2D3716"/>
    <w:rsid w:val="3B307112"/>
    <w:rsid w:val="3B307FDD"/>
    <w:rsid w:val="3B3D1A41"/>
    <w:rsid w:val="3B3E5BDD"/>
    <w:rsid w:val="3B552653"/>
    <w:rsid w:val="3B5A2A22"/>
    <w:rsid w:val="3B707794"/>
    <w:rsid w:val="3B7804A3"/>
    <w:rsid w:val="3B8E2153"/>
    <w:rsid w:val="3B9B2072"/>
    <w:rsid w:val="3BA03B83"/>
    <w:rsid w:val="3BA91F03"/>
    <w:rsid w:val="3BB16FA6"/>
    <w:rsid w:val="3BB17CE6"/>
    <w:rsid w:val="3BB20883"/>
    <w:rsid w:val="3BB448B0"/>
    <w:rsid w:val="3BC34E75"/>
    <w:rsid w:val="3BCB270F"/>
    <w:rsid w:val="3BD569C2"/>
    <w:rsid w:val="3BD96AA6"/>
    <w:rsid w:val="3BDB053C"/>
    <w:rsid w:val="3BE4466B"/>
    <w:rsid w:val="3BED002E"/>
    <w:rsid w:val="3C0429BF"/>
    <w:rsid w:val="3C066389"/>
    <w:rsid w:val="3C0D66FC"/>
    <w:rsid w:val="3C120C48"/>
    <w:rsid w:val="3C1A201A"/>
    <w:rsid w:val="3C244848"/>
    <w:rsid w:val="3C276807"/>
    <w:rsid w:val="3C306E2F"/>
    <w:rsid w:val="3C3274E5"/>
    <w:rsid w:val="3C371D4B"/>
    <w:rsid w:val="3C382561"/>
    <w:rsid w:val="3C3B4B9D"/>
    <w:rsid w:val="3C3F772B"/>
    <w:rsid w:val="3C413C82"/>
    <w:rsid w:val="3C471C36"/>
    <w:rsid w:val="3C4B0140"/>
    <w:rsid w:val="3C4D66ED"/>
    <w:rsid w:val="3C577D11"/>
    <w:rsid w:val="3C5A6B66"/>
    <w:rsid w:val="3C6472A5"/>
    <w:rsid w:val="3C734413"/>
    <w:rsid w:val="3C7A6E5A"/>
    <w:rsid w:val="3C8869CA"/>
    <w:rsid w:val="3C982C18"/>
    <w:rsid w:val="3CA734F8"/>
    <w:rsid w:val="3CA95F71"/>
    <w:rsid w:val="3CB33ABD"/>
    <w:rsid w:val="3CC16893"/>
    <w:rsid w:val="3CC74223"/>
    <w:rsid w:val="3CC828D0"/>
    <w:rsid w:val="3CCB43BE"/>
    <w:rsid w:val="3CDA6EE3"/>
    <w:rsid w:val="3CDB5F96"/>
    <w:rsid w:val="3CE23F49"/>
    <w:rsid w:val="3CE242F0"/>
    <w:rsid w:val="3CEA4F7F"/>
    <w:rsid w:val="3CEC39B8"/>
    <w:rsid w:val="3CF20887"/>
    <w:rsid w:val="3CF37919"/>
    <w:rsid w:val="3CF720E3"/>
    <w:rsid w:val="3CF72D6A"/>
    <w:rsid w:val="3CF86D06"/>
    <w:rsid w:val="3D00620E"/>
    <w:rsid w:val="3D035226"/>
    <w:rsid w:val="3D0E4AD7"/>
    <w:rsid w:val="3D31576C"/>
    <w:rsid w:val="3D316CDB"/>
    <w:rsid w:val="3D3373BD"/>
    <w:rsid w:val="3D3768D2"/>
    <w:rsid w:val="3D3A3838"/>
    <w:rsid w:val="3D3D6BBD"/>
    <w:rsid w:val="3D404CC7"/>
    <w:rsid w:val="3D450F8C"/>
    <w:rsid w:val="3D477118"/>
    <w:rsid w:val="3D51285A"/>
    <w:rsid w:val="3D594E54"/>
    <w:rsid w:val="3D62706F"/>
    <w:rsid w:val="3D6E2272"/>
    <w:rsid w:val="3D772B05"/>
    <w:rsid w:val="3D7C727A"/>
    <w:rsid w:val="3D81786B"/>
    <w:rsid w:val="3D830417"/>
    <w:rsid w:val="3D877AC5"/>
    <w:rsid w:val="3D882D35"/>
    <w:rsid w:val="3D8D2848"/>
    <w:rsid w:val="3D94235D"/>
    <w:rsid w:val="3D9461E1"/>
    <w:rsid w:val="3DAF37B0"/>
    <w:rsid w:val="3DB34E86"/>
    <w:rsid w:val="3DB36BC6"/>
    <w:rsid w:val="3DB80A86"/>
    <w:rsid w:val="3DBE6A34"/>
    <w:rsid w:val="3DC00481"/>
    <w:rsid w:val="3DDA3E19"/>
    <w:rsid w:val="3DED0F96"/>
    <w:rsid w:val="3DF130D5"/>
    <w:rsid w:val="3DF95812"/>
    <w:rsid w:val="3E0040D9"/>
    <w:rsid w:val="3E1328D6"/>
    <w:rsid w:val="3E1B7668"/>
    <w:rsid w:val="3E1C6544"/>
    <w:rsid w:val="3E1D4B24"/>
    <w:rsid w:val="3E2A7B0A"/>
    <w:rsid w:val="3E314520"/>
    <w:rsid w:val="3E3A04FA"/>
    <w:rsid w:val="3E3D6B96"/>
    <w:rsid w:val="3E3F202E"/>
    <w:rsid w:val="3E441C7D"/>
    <w:rsid w:val="3E490256"/>
    <w:rsid w:val="3E4C2EC5"/>
    <w:rsid w:val="3E55739E"/>
    <w:rsid w:val="3E6C43C8"/>
    <w:rsid w:val="3E8227F0"/>
    <w:rsid w:val="3E937F82"/>
    <w:rsid w:val="3E9B4B40"/>
    <w:rsid w:val="3EB71AC8"/>
    <w:rsid w:val="3EC85E34"/>
    <w:rsid w:val="3ECC462F"/>
    <w:rsid w:val="3ECF2AAC"/>
    <w:rsid w:val="3ED0424C"/>
    <w:rsid w:val="3ED07B7E"/>
    <w:rsid w:val="3EDC2C5B"/>
    <w:rsid w:val="3EF31E7F"/>
    <w:rsid w:val="3EF36DF0"/>
    <w:rsid w:val="3F035EE1"/>
    <w:rsid w:val="3F053EF6"/>
    <w:rsid w:val="3F093188"/>
    <w:rsid w:val="3F0C1E13"/>
    <w:rsid w:val="3F173F6B"/>
    <w:rsid w:val="3F1E1DE8"/>
    <w:rsid w:val="3F253B0C"/>
    <w:rsid w:val="3F2853A7"/>
    <w:rsid w:val="3F2C04C4"/>
    <w:rsid w:val="3F3E7C9F"/>
    <w:rsid w:val="3F416B99"/>
    <w:rsid w:val="3F4F5AD7"/>
    <w:rsid w:val="3F5338E1"/>
    <w:rsid w:val="3F643908"/>
    <w:rsid w:val="3F6828C2"/>
    <w:rsid w:val="3F6A46DC"/>
    <w:rsid w:val="3F6B75A6"/>
    <w:rsid w:val="3F845AA0"/>
    <w:rsid w:val="3F884CAB"/>
    <w:rsid w:val="3F8C0A49"/>
    <w:rsid w:val="3F8E7DCD"/>
    <w:rsid w:val="3F913853"/>
    <w:rsid w:val="3F93357F"/>
    <w:rsid w:val="3F9660C3"/>
    <w:rsid w:val="3F9724DD"/>
    <w:rsid w:val="3F9C79E3"/>
    <w:rsid w:val="3FA827ED"/>
    <w:rsid w:val="3FB45C58"/>
    <w:rsid w:val="3FBA1D11"/>
    <w:rsid w:val="3FC36557"/>
    <w:rsid w:val="3FC956FF"/>
    <w:rsid w:val="3FD13F50"/>
    <w:rsid w:val="3FDC5F31"/>
    <w:rsid w:val="3FE04625"/>
    <w:rsid w:val="3FE86CE8"/>
    <w:rsid w:val="3FEF3DCD"/>
    <w:rsid w:val="3FF148F7"/>
    <w:rsid w:val="3FFB0F66"/>
    <w:rsid w:val="40022F93"/>
    <w:rsid w:val="400E6DDA"/>
    <w:rsid w:val="40146E6B"/>
    <w:rsid w:val="40225B50"/>
    <w:rsid w:val="403052F1"/>
    <w:rsid w:val="40330D29"/>
    <w:rsid w:val="404469FD"/>
    <w:rsid w:val="404A2717"/>
    <w:rsid w:val="404E779F"/>
    <w:rsid w:val="4059090D"/>
    <w:rsid w:val="4065170A"/>
    <w:rsid w:val="40687776"/>
    <w:rsid w:val="406966BC"/>
    <w:rsid w:val="406C4DFB"/>
    <w:rsid w:val="406E5CAB"/>
    <w:rsid w:val="40713C35"/>
    <w:rsid w:val="40823B87"/>
    <w:rsid w:val="408355D6"/>
    <w:rsid w:val="408376F8"/>
    <w:rsid w:val="40A163F1"/>
    <w:rsid w:val="40A25054"/>
    <w:rsid w:val="40A325E0"/>
    <w:rsid w:val="40AE30AC"/>
    <w:rsid w:val="40AE7A15"/>
    <w:rsid w:val="40B41AE2"/>
    <w:rsid w:val="40B7228C"/>
    <w:rsid w:val="40BD0DA1"/>
    <w:rsid w:val="40EC7D18"/>
    <w:rsid w:val="40ED11A0"/>
    <w:rsid w:val="40F92E97"/>
    <w:rsid w:val="40FD1BF0"/>
    <w:rsid w:val="41015E92"/>
    <w:rsid w:val="41096BC0"/>
    <w:rsid w:val="410A75B6"/>
    <w:rsid w:val="410B452A"/>
    <w:rsid w:val="41146D26"/>
    <w:rsid w:val="411B6EDC"/>
    <w:rsid w:val="413353F1"/>
    <w:rsid w:val="41464224"/>
    <w:rsid w:val="414C0B0E"/>
    <w:rsid w:val="41513BC9"/>
    <w:rsid w:val="41735B7F"/>
    <w:rsid w:val="419302E2"/>
    <w:rsid w:val="419A118B"/>
    <w:rsid w:val="419E558F"/>
    <w:rsid w:val="419E60D3"/>
    <w:rsid w:val="41A25332"/>
    <w:rsid w:val="41A339F5"/>
    <w:rsid w:val="41A36C7E"/>
    <w:rsid w:val="41AA4A84"/>
    <w:rsid w:val="41AF06D0"/>
    <w:rsid w:val="41C45B38"/>
    <w:rsid w:val="41C93F6C"/>
    <w:rsid w:val="41D5139D"/>
    <w:rsid w:val="41D75714"/>
    <w:rsid w:val="41DD3BC3"/>
    <w:rsid w:val="41E535F4"/>
    <w:rsid w:val="41EE2F03"/>
    <w:rsid w:val="41F466FD"/>
    <w:rsid w:val="42002BC7"/>
    <w:rsid w:val="42026B03"/>
    <w:rsid w:val="420C60D5"/>
    <w:rsid w:val="420D197F"/>
    <w:rsid w:val="42130DE5"/>
    <w:rsid w:val="42187EBE"/>
    <w:rsid w:val="42201DD7"/>
    <w:rsid w:val="42240D3F"/>
    <w:rsid w:val="42273D8C"/>
    <w:rsid w:val="4227435A"/>
    <w:rsid w:val="424154E1"/>
    <w:rsid w:val="42494A4D"/>
    <w:rsid w:val="424B5824"/>
    <w:rsid w:val="42616DD3"/>
    <w:rsid w:val="426973AD"/>
    <w:rsid w:val="426F56CA"/>
    <w:rsid w:val="42702D0D"/>
    <w:rsid w:val="427A67A1"/>
    <w:rsid w:val="427E0B36"/>
    <w:rsid w:val="429F2355"/>
    <w:rsid w:val="42A03D98"/>
    <w:rsid w:val="42A37FC3"/>
    <w:rsid w:val="42A729F1"/>
    <w:rsid w:val="42B94BC1"/>
    <w:rsid w:val="42BE4DAE"/>
    <w:rsid w:val="42BF61B0"/>
    <w:rsid w:val="42C30254"/>
    <w:rsid w:val="42C42A08"/>
    <w:rsid w:val="42D064B1"/>
    <w:rsid w:val="42D41F6D"/>
    <w:rsid w:val="42DE48A3"/>
    <w:rsid w:val="42E16058"/>
    <w:rsid w:val="42F17BF5"/>
    <w:rsid w:val="42F87EC9"/>
    <w:rsid w:val="42FA45BF"/>
    <w:rsid w:val="430E7E66"/>
    <w:rsid w:val="431C35C1"/>
    <w:rsid w:val="431C44AA"/>
    <w:rsid w:val="43296963"/>
    <w:rsid w:val="4332317A"/>
    <w:rsid w:val="433246A0"/>
    <w:rsid w:val="43391299"/>
    <w:rsid w:val="433E7EE2"/>
    <w:rsid w:val="433F6B54"/>
    <w:rsid w:val="43424AD7"/>
    <w:rsid w:val="4346543A"/>
    <w:rsid w:val="43533E29"/>
    <w:rsid w:val="43561E16"/>
    <w:rsid w:val="435B1259"/>
    <w:rsid w:val="436263D5"/>
    <w:rsid w:val="437556C4"/>
    <w:rsid w:val="43874CD4"/>
    <w:rsid w:val="43874FE8"/>
    <w:rsid w:val="439B699F"/>
    <w:rsid w:val="439D3E18"/>
    <w:rsid w:val="439F1200"/>
    <w:rsid w:val="43AE320F"/>
    <w:rsid w:val="43AF2D32"/>
    <w:rsid w:val="43B13512"/>
    <w:rsid w:val="43B76E4F"/>
    <w:rsid w:val="43C24E88"/>
    <w:rsid w:val="43C9176D"/>
    <w:rsid w:val="43CF0206"/>
    <w:rsid w:val="43D50BA1"/>
    <w:rsid w:val="43D81E71"/>
    <w:rsid w:val="43D85D6D"/>
    <w:rsid w:val="43E23D98"/>
    <w:rsid w:val="43EC6F1F"/>
    <w:rsid w:val="43F124F2"/>
    <w:rsid w:val="43FE44BA"/>
    <w:rsid w:val="43FE63A7"/>
    <w:rsid w:val="440656C2"/>
    <w:rsid w:val="440D5045"/>
    <w:rsid w:val="440F6C97"/>
    <w:rsid w:val="44300615"/>
    <w:rsid w:val="44371929"/>
    <w:rsid w:val="443740AF"/>
    <w:rsid w:val="44480935"/>
    <w:rsid w:val="444851FA"/>
    <w:rsid w:val="445E4DEE"/>
    <w:rsid w:val="44640994"/>
    <w:rsid w:val="446B0434"/>
    <w:rsid w:val="44756A66"/>
    <w:rsid w:val="447E4EBE"/>
    <w:rsid w:val="447F0CBA"/>
    <w:rsid w:val="44820938"/>
    <w:rsid w:val="4491630F"/>
    <w:rsid w:val="449323D4"/>
    <w:rsid w:val="44957F46"/>
    <w:rsid w:val="44994CF5"/>
    <w:rsid w:val="44AF6578"/>
    <w:rsid w:val="44B463D5"/>
    <w:rsid w:val="44C17003"/>
    <w:rsid w:val="44C90753"/>
    <w:rsid w:val="44D649CF"/>
    <w:rsid w:val="44DC46EB"/>
    <w:rsid w:val="44EA6491"/>
    <w:rsid w:val="44F03F8F"/>
    <w:rsid w:val="44F14ECF"/>
    <w:rsid w:val="45042FB1"/>
    <w:rsid w:val="45162B93"/>
    <w:rsid w:val="45234E43"/>
    <w:rsid w:val="45275172"/>
    <w:rsid w:val="452F5B3A"/>
    <w:rsid w:val="45332511"/>
    <w:rsid w:val="45370B65"/>
    <w:rsid w:val="453F44DA"/>
    <w:rsid w:val="45412C46"/>
    <w:rsid w:val="454D3110"/>
    <w:rsid w:val="45514AD5"/>
    <w:rsid w:val="4552412E"/>
    <w:rsid w:val="45570907"/>
    <w:rsid w:val="455908C0"/>
    <w:rsid w:val="455933A5"/>
    <w:rsid w:val="45724579"/>
    <w:rsid w:val="45743BE6"/>
    <w:rsid w:val="4575513B"/>
    <w:rsid w:val="45761EDD"/>
    <w:rsid w:val="457A7286"/>
    <w:rsid w:val="457B06AA"/>
    <w:rsid w:val="457C7D39"/>
    <w:rsid w:val="458667C4"/>
    <w:rsid w:val="458F5163"/>
    <w:rsid w:val="45934E4A"/>
    <w:rsid w:val="459405E3"/>
    <w:rsid w:val="459C5A47"/>
    <w:rsid w:val="45A82F38"/>
    <w:rsid w:val="45B047D1"/>
    <w:rsid w:val="45B77545"/>
    <w:rsid w:val="45BE6191"/>
    <w:rsid w:val="45BE648C"/>
    <w:rsid w:val="45C661BC"/>
    <w:rsid w:val="45CA082F"/>
    <w:rsid w:val="45CD2126"/>
    <w:rsid w:val="45CF358A"/>
    <w:rsid w:val="45DD738A"/>
    <w:rsid w:val="45E114D6"/>
    <w:rsid w:val="45E372CD"/>
    <w:rsid w:val="45FB2D6A"/>
    <w:rsid w:val="460C5979"/>
    <w:rsid w:val="46110AB3"/>
    <w:rsid w:val="46143B66"/>
    <w:rsid w:val="4615371C"/>
    <w:rsid w:val="46214325"/>
    <w:rsid w:val="4626398E"/>
    <w:rsid w:val="463246EC"/>
    <w:rsid w:val="463425D3"/>
    <w:rsid w:val="463A3547"/>
    <w:rsid w:val="464B28C8"/>
    <w:rsid w:val="464E0973"/>
    <w:rsid w:val="46555DC3"/>
    <w:rsid w:val="466125E9"/>
    <w:rsid w:val="46617DB2"/>
    <w:rsid w:val="46621065"/>
    <w:rsid w:val="46665198"/>
    <w:rsid w:val="46697236"/>
    <w:rsid w:val="46770F8B"/>
    <w:rsid w:val="467C16FA"/>
    <w:rsid w:val="46842633"/>
    <w:rsid w:val="46875964"/>
    <w:rsid w:val="46894B18"/>
    <w:rsid w:val="46936C54"/>
    <w:rsid w:val="469448C6"/>
    <w:rsid w:val="469E47A2"/>
    <w:rsid w:val="46AB0067"/>
    <w:rsid w:val="46AD2069"/>
    <w:rsid w:val="46B80AF8"/>
    <w:rsid w:val="46D37F0B"/>
    <w:rsid w:val="46D6030E"/>
    <w:rsid w:val="46D71533"/>
    <w:rsid w:val="46E53335"/>
    <w:rsid w:val="46E544E3"/>
    <w:rsid w:val="46E87DBA"/>
    <w:rsid w:val="46EE15F6"/>
    <w:rsid w:val="46EE2CC7"/>
    <w:rsid w:val="46FA7468"/>
    <w:rsid w:val="470F7B86"/>
    <w:rsid w:val="47155D89"/>
    <w:rsid w:val="473069AF"/>
    <w:rsid w:val="47356ECD"/>
    <w:rsid w:val="474A0EAF"/>
    <w:rsid w:val="474E50BE"/>
    <w:rsid w:val="47523FA0"/>
    <w:rsid w:val="476700F2"/>
    <w:rsid w:val="47696F9C"/>
    <w:rsid w:val="47714F1F"/>
    <w:rsid w:val="47725A17"/>
    <w:rsid w:val="4775676E"/>
    <w:rsid w:val="47756A03"/>
    <w:rsid w:val="477D3243"/>
    <w:rsid w:val="478821A1"/>
    <w:rsid w:val="478D3694"/>
    <w:rsid w:val="479128A9"/>
    <w:rsid w:val="47956820"/>
    <w:rsid w:val="47975EDC"/>
    <w:rsid w:val="47983B19"/>
    <w:rsid w:val="479E2C8A"/>
    <w:rsid w:val="47A3609D"/>
    <w:rsid w:val="47C01792"/>
    <w:rsid w:val="47C57A48"/>
    <w:rsid w:val="47D511BD"/>
    <w:rsid w:val="4808150F"/>
    <w:rsid w:val="480F51A8"/>
    <w:rsid w:val="481604F9"/>
    <w:rsid w:val="481A006F"/>
    <w:rsid w:val="48256B1B"/>
    <w:rsid w:val="48282713"/>
    <w:rsid w:val="482A6E62"/>
    <w:rsid w:val="482F2437"/>
    <w:rsid w:val="484417FA"/>
    <w:rsid w:val="48450ECE"/>
    <w:rsid w:val="484759CD"/>
    <w:rsid w:val="484B14EC"/>
    <w:rsid w:val="48602710"/>
    <w:rsid w:val="48713351"/>
    <w:rsid w:val="48725C43"/>
    <w:rsid w:val="48802846"/>
    <w:rsid w:val="488260F9"/>
    <w:rsid w:val="48850157"/>
    <w:rsid w:val="48A4573B"/>
    <w:rsid w:val="48A71C34"/>
    <w:rsid w:val="48A736CF"/>
    <w:rsid w:val="48B116EA"/>
    <w:rsid w:val="48B74C7A"/>
    <w:rsid w:val="48B95FE2"/>
    <w:rsid w:val="48BE32BF"/>
    <w:rsid w:val="48C354EC"/>
    <w:rsid w:val="48CF1A39"/>
    <w:rsid w:val="48D429DD"/>
    <w:rsid w:val="48E01C77"/>
    <w:rsid w:val="48E22285"/>
    <w:rsid w:val="48E50D90"/>
    <w:rsid w:val="48EB0B49"/>
    <w:rsid w:val="48EB0D16"/>
    <w:rsid w:val="48FA15CC"/>
    <w:rsid w:val="48FF0DD1"/>
    <w:rsid w:val="490F071A"/>
    <w:rsid w:val="491B63DF"/>
    <w:rsid w:val="491D63E9"/>
    <w:rsid w:val="49247EB1"/>
    <w:rsid w:val="4932285C"/>
    <w:rsid w:val="49331971"/>
    <w:rsid w:val="49384E02"/>
    <w:rsid w:val="493E2F78"/>
    <w:rsid w:val="493F3A9E"/>
    <w:rsid w:val="495217DF"/>
    <w:rsid w:val="49547ADD"/>
    <w:rsid w:val="4958367A"/>
    <w:rsid w:val="4960425F"/>
    <w:rsid w:val="498A16CD"/>
    <w:rsid w:val="498A7FB5"/>
    <w:rsid w:val="499145D9"/>
    <w:rsid w:val="49A33C27"/>
    <w:rsid w:val="49A750B5"/>
    <w:rsid w:val="49B93B41"/>
    <w:rsid w:val="49BE07DA"/>
    <w:rsid w:val="49C32414"/>
    <w:rsid w:val="49C84AA0"/>
    <w:rsid w:val="49CA7400"/>
    <w:rsid w:val="49D7694D"/>
    <w:rsid w:val="49D87799"/>
    <w:rsid w:val="49E27151"/>
    <w:rsid w:val="49F400AC"/>
    <w:rsid w:val="49F9104E"/>
    <w:rsid w:val="4A0244D3"/>
    <w:rsid w:val="4A255046"/>
    <w:rsid w:val="4A2E1525"/>
    <w:rsid w:val="4A5A756D"/>
    <w:rsid w:val="4A722B4C"/>
    <w:rsid w:val="4A785772"/>
    <w:rsid w:val="4A7A7433"/>
    <w:rsid w:val="4A842E43"/>
    <w:rsid w:val="4A886D1D"/>
    <w:rsid w:val="4A89105B"/>
    <w:rsid w:val="4A955EEB"/>
    <w:rsid w:val="4AA341CC"/>
    <w:rsid w:val="4AC13295"/>
    <w:rsid w:val="4AC31003"/>
    <w:rsid w:val="4AC40F4C"/>
    <w:rsid w:val="4AC91D29"/>
    <w:rsid w:val="4AD25F33"/>
    <w:rsid w:val="4AD763B8"/>
    <w:rsid w:val="4ADD641F"/>
    <w:rsid w:val="4AE072CB"/>
    <w:rsid w:val="4AE93159"/>
    <w:rsid w:val="4AED65F4"/>
    <w:rsid w:val="4AF02EA1"/>
    <w:rsid w:val="4B0428AF"/>
    <w:rsid w:val="4B174032"/>
    <w:rsid w:val="4B1C3A76"/>
    <w:rsid w:val="4B1D7328"/>
    <w:rsid w:val="4B250CF8"/>
    <w:rsid w:val="4B2873FD"/>
    <w:rsid w:val="4B3D4DE9"/>
    <w:rsid w:val="4B59618C"/>
    <w:rsid w:val="4B5B2C7E"/>
    <w:rsid w:val="4B6A74A5"/>
    <w:rsid w:val="4B6F1D56"/>
    <w:rsid w:val="4B7C4100"/>
    <w:rsid w:val="4B830F9B"/>
    <w:rsid w:val="4B8F2DD0"/>
    <w:rsid w:val="4B9B06E8"/>
    <w:rsid w:val="4B9B0C47"/>
    <w:rsid w:val="4B9D4011"/>
    <w:rsid w:val="4BA34CD3"/>
    <w:rsid w:val="4BB36BDD"/>
    <w:rsid w:val="4BB60507"/>
    <w:rsid w:val="4BC32290"/>
    <w:rsid w:val="4BC64C9C"/>
    <w:rsid w:val="4BD0339A"/>
    <w:rsid w:val="4BF32495"/>
    <w:rsid w:val="4BFA131A"/>
    <w:rsid w:val="4BFA3FA2"/>
    <w:rsid w:val="4C172533"/>
    <w:rsid w:val="4C1905D9"/>
    <w:rsid w:val="4C2910DF"/>
    <w:rsid w:val="4C2B4DDD"/>
    <w:rsid w:val="4C312198"/>
    <w:rsid w:val="4C336177"/>
    <w:rsid w:val="4C471A55"/>
    <w:rsid w:val="4C562920"/>
    <w:rsid w:val="4C5D1F92"/>
    <w:rsid w:val="4C603F16"/>
    <w:rsid w:val="4C6262E0"/>
    <w:rsid w:val="4C6703A3"/>
    <w:rsid w:val="4C6D7518"/>
    <w:rsid w:val="4C8C1682"/>
    <w:rsid w:val="4C923A72"/>
    <w:rsid w:val="4CAB3057"/>
    <w:rsid w:val="4CB531CC"/>
    <w:rsid w:val="4CB80C32"/>
    <w:rsid w:val="4CB96B0F"/>
    <w:rsid w:val="4CBD582C"/>
    <w:rsid w:val="4CC21369"/>
    <w:rsid w:val="4CD1735E"/>
    <w:rsid w:val="4CE34E9F"/>
    <w:rsid w:val="4CED2821"/>
    <w:rsid w:val="4CF52D94"/>
    <w:rsid w:val="4D075911"/>
    <w:rsid w:val="4D0C6B0F"/>
    <w:rsid w:val="4D1216BD"/>
    <w:rsid w:val="4D231A3E"/>
    <w:rsid w:val="4D2822A5"/>
    <w:rsid w:val="4D3C254D"/>
    <w:rsid w:val="4D4001E4"/>
    <w:rsid w:val="4D462159"/>
    <w:rsid w:val="4D47409F"/>
    <w:rsid w:val="4D525BE3"/>
    <w:rsid w:val="4D566017"/>
    <w:rsid w:val="4D6022FC"/>
    <w:rsid w:val="4D6748C7"/>
    <w:rsid w:val="4D7D3EFB"/>
    <w:rsid w:val="4D883EF9"/>
    <w:rsid w:val="4D8B0123"/>
    <w:rsid w:val="4D907392"/>
    <w:rsid w:val="4D940DD6"/>
    <w:rsid w:val="4DAF14C5"/>
    <w:rsid w:val="4DB9067A"/>
    <w:rsid w:val="4DC605B6"/>
    <w:rsid w:val="4DD732D2"/>
    <w:rsid w:val="4DEC0985"/>
    <w:rsid w:val="4E000105"/>
    <w:rsid w:val="4E0538A3"/>
    <w:rsid w:val="4E0E6818"/>
    <w:rsid w:val="4E27683A"/>
    <w:rsid w:val="4E321D35"/>
    <w:rsid w:val="4E397241"/>
    <w:rsid w:val="4E3C1DE4"/>
    <w:rsid w:val="4E464E00"/>
    <w:rsid w:val="4E4B2E60"/>
    <w:rsid w:val="4E4C50A3"/>
    <w:rsid w:val="4E510698"/>
    <w:rsid w:val="4E576363"/>
    <w:rsid w:val="4E59789B"/>
    <w:rsid w:val="4E5D49B1"/>
    <w:rsid w:val="4E635567"/>
    <w:rsid w:val="4E674786"/>
    <w:rsid w:val="4E681A40"/>
    <w:rsid w:val="4E6D0F25"/>
    <w:rsid w:val="4E6F309C"/>
    <w:rsid w:val="4E710F05"/>
    <w:rsid w:val="4E742982"/>
    <w:rsid w:val="4E7F1E8F"/>
    <w:rsid w:val="4E862481"/>
    <w:rsid w:val="4E8C4141"/>
    <w:rsid w:val="4E901714"/>
    <w:rsid w:val="4E93511F"/>
    <w:rsid w:val="4E9B4432"/>
    <w:rsid w:val="4E9C0636"/>
    <w:rsid w:val="4E9D29FB"/>
    <w:rsid w:val="4EA30DB6"/>
    <w:rsid w:val="4EA7341F"/>
    <w:rsid w:val="4EB35A3D"/>
    <w:rsid w:val="4ECD2AFD"/>
    <w:rsid w:val="4EDB58B2"/>
    <w:rsid w:val="4EE925CE"/>
    <w:rsid w:val="4EEB1A94"/>
    <w:rsid w:val="4EEF2E30"/>
    <w:rsid w:val="4EF24828"/>
    <w:rsid w:val="4EFE7F59"/>
    <w:rsid w:val="4F0557AF"/>
    <w:rsid w:val="4F285975"/>
    <w:rsid w:val="4F2A1A96"/>
    <w:rsid w:val="4F2A7BF3"/>
    <w:rsid w:val="4F2E2624"/>
    <w:rsid w:val="4F4E1077"/>
    <w:rsid w:val="4F546156"/>
    <w:rsid w:val="4F5B6F39"/>
    <w:rsid w:val="4F621F24"/>
    <w:rsid w:val="4F64780B"/>
    <w:rsid w:val="4F844A99"/>
    <w:rsid w:val="4F94662C"/>
    <w:rsid w:val="4FAB774E"/>
    <w:rsid w:val="4FB00163"/>
    <w:rsid w:val="4FB208E7"/>
    <w:rsid w:val="4FE30332"/>
    <w:rsid w:val="4FE70BB4"/>
    <w:rsid w:val="4FE73C01"/>
    <w:rsid w:val="4FE76D51"/>
    <w:rsid w:val="4FE87C31"/>
    <w:rsid w:val="4FF03F98"/>
    <w:rsid w:val="4FF14DCF"/>
    <w:rsid w:val="4FF62B3F"/>
    <w:rsid w:val="50062EF6"/>
    <w:rsid w:val="5008113B"/>
    <w:rsid w:val="500815B6"/>
    <w:rsid w:val="500A7223"/>
    <w:rsid w:val="500B39BC"/>
    <w:rsid w:val="500C204A"/>
    <w:rsid w:val="500F6BB8"/>
    <w:rsid w:val="501502DD"/>
    <w:rsid w:val="501A2172"/>
    <w:rsid w:val="502173F8"/>
    <w:rsid w:val="5022123F"/>
    <w:rsid w:val="502B7315"/>
    <w:rsid w:val="503E570B"/>
    <w:rsid w:val="503F32CF"/>
    <w:rsid w:val="503F62FD"/>
    <w:rsid w:val="5041152A"/>
    <w:rsid w:val="504A1A7A"/>
    <w:rsid w:val="504C77D2"/>
    <w:rsid w:val="50560460"/>
    <w:rsid w:val="50601A5C"/>
    <w:rsid w:val="507055F2"/>
    <w:rsid w:val="507E1B25"/>
    <w:rsid w:val="508E3B94"/>
    <w:rsid w:val="508E4492"/>
    <w:rsid w:val="5090223F"/>
    <w:rsid w:val="50924591"/>
    <w:rsid w:val="50943125"/>
    <w:rsid w:val="50A578DE"/>
    <w:rsid w:val="50A649F5"/>
    <w:rsid w:val="50AB5EB6"/>
    <w:rsid w:val="50AD494C"/>
    <w:rsid w:val="50AE6FE2"/>
    <w:rsid w:val="50B16618"/>
    <w:rsid w:val="50BB6306"/>
    <w:rsid w:val="50C12EDC"/>
    <w:rsid w:val="50CD2E4B"/>
    <w:rsid w:val="50D8533B"/>
    <w:rsid w:val="50DA0A9E"/>
    <w:rsid w:val="50ED21B8"/>
    <w:rsid w:val="50F31CB9"/>
    <w:rsid w:val="50F66F3D"/>
    <w:rsid w:val="50F8688B"/>
    <w:rsid w:val="50FC4E36"/>
    <w:rsid w:val="51002FFC"/>
    <w:rsid w:val="5105169B"/>
    <w:rsid w:val="51062881"/>
    <w:rsid w:val="510861B3"/>
    <w:rsid w:val="510956BD"/>
    <w:rsid w:val="5114696C"/>
    <w:rsid w:val="5121766A"/>
    <w:rsid w:val="51230220"/>
    <w:rsid w:val="513E7AC2"/>
    <w:rsid w:val="513F6CC6"/>
    <w:rsid w:val="51471753"/>
    <w:rsid w:val="514E4912"/>
    <w:rsid w:val="515400FF"/>
    <w:rsid w:val="515441FE"/>
    <w:rsid w:val="515D735D"/>
    <w:rsid w:val="5161556E"/>
    <w:rsid w:val="51631E12"/>
    <w:rsid w:val="516A5418"/>
    <w:rsid w:val="516F4764"/>
    <w:rsid w:val="51781A83"/>
    <w:rsid w:val="51867298"/>
    <w:rsid w:val="51894D69"/>
    <w:rsid w:val="518D21E1"/>
    <w:rsid w:val="518E6224"/>
    <w:rsid w:val="51930297"/>
    <w:rsid w:val="51953936"/>
    <w:rsid w:val="519E116A"/>
    <w:rsid w:val="51A2793A"/>
    <w:rsid w:val="51AF3CDC"/>
    <w:rsid w:val="51B10868"/>
    <w:rsid w:val="51B71820"/>
    <w:rsid w:val="51BA0CB7"/>
    <w:rsid w:val="51CA4619"/>
    <w:rsid w:val="51D129CA"/>
    <w:rsid w:val="51D75253"/>
    <w:rsid w:val="51D93F8A"/>
    <w:rsid w:val="51E5046A"/>
    <w:rsid w:val="51F6353C"/>
    <w:rsid w:val="520D7B42"/>
    <w:rsid w:val="52175F05"/>
    <w:rsid w:val="52272B85"/>
    <w:rsid w:val="52284E31"/>
    <w:rsid w:val="522A5519"/>
    <w:rsid w:val="523E09B5"/>
    <w:rsid w:val="524053B4"/>
    <w:rsid w:val="52431715"/>
    <w:rsid w:val="5262683E"/>
    <w:rsid w:val="52687B2A"/>
    <w:rsid w:val="526E0E82"/>
    <w:rsid w:val="527901C6"/>
    <w:rsid w:val="528241AF"/>
    <w:rsid w:val="52831D64"/>
    <w:rsid w:val="528F4A24"/>
    <w:rsid w:val="52944BB6"/>
    <w:rsid w:val="529C012B"/>
    <w:rsid w:val="52A24532"/>
    <w:rsid w:val="52A611A1"/>
    <w:rsid w:val="52AB02F9"/>
    <w:rsid w:val="52AB4331"/>
    <w:rsid w:val="52B24D9E"/>
    <w:rsid w:val="52B3363A"/>
    <w:rsid w:val="52C33084"/>
    <w:rsid w:val="52C4763C"/>
    <w:rsid w:val="52C552C3"/>
    <w:rsid w:val="52CE7860"/>
    <w:rsid w:val="52D102DF"/>
    <w:rsid w:val="52DE691D"/>
    <w:rsid w:val="52E04D27"/>
    <w:rsid w:val="52ED0C96"/>
    <w:rsid w:val="52EE10AF"/>
    <w:rsid w:val="53061721"/>
    <w:rsid w:val="530C0E6B"/>
    <w:rsid w:val="530C41A5"/>
    <w:rsid w:val="531C3F9F"/>
    <w:rsid w:val="532F77EA"/>
    <w:rsid w:val="53367575"/>
    <w:rsid w:val="533933AA"/>
    <w:rsid w:val="533B7F54"/>
    <w:rsid w:val="533D2D66"/>
    <w:rsid w:val="535009E1"/>
    <w:rsid w:val="53650168"/>
    <w:rsid w:val="53665DA9"/>
    <w:rsid w:val="536C2A29"/>
    <w:rsid w:val="536E571F"/>
    <w:rsid w:val="538859E4"/>
    <w:rsid w:val="538E3092"/>
    <w:rsid w:val="53902F6B"/>
    <w:rsid w:val="539F394B"/>
    <w:rsid w:val="53A20FFA"/>
    <w:rsid w:val="53A233E4"/>
    <w:rsid w:val="53A63AE8"/>
    <w:rsid w:val="53A94C48"/>
    <w:rsid w:val="53AA7BC7"/>
    <w:rsid w:val="53AE5EA5"/>
    <w:rsid w:val="53B00B1F"/>
    <w:rsid w:val="53B2409D"/>
    <w:rsid w:val="53B31E73"/>
    <w:rsid w:val="53BD0731"/>
    <w:rsid w:val="53BF4252"/>
    <w:rsid w:val="53D05542"/>
    <w:rsid w:val="53D5647F"/>
    <w:rsid w:val="53D6247A"/>
    <w:rsid w:val="53DB3477"/>
    <w:rsid w:val="53DE00FF"/>
    <w:rsid w:val="53E656AF"/>
    <w:rsid w:val="53E77CBF"/>
    <w:rsid w:val="53FE7128"/>
    <w:rsid w:val="54201800"/>
    <w:rsid w:val="54247F22"/>
    <w:rsid w:val="5427150F"/>
    <w:rsid w:val="542B1B24"/>
    <w:rsid w:val="542B76D0"/>
    <w:rsid w:val="542C29CD"/>
    <w:rsid w:val="542F1551"/>
    <w:rsid w:val="54381756"/>
    <w:rsid w:val="545750B7"/>
    <w:rsid w:val="545A1EBF"/>
    <w:rsid w:val="545E39AA"/>
    <w:rsid w:val="54602EAD"/>
    <w:rsid w:val="5460437B"/>
    <w:rsid w:val="54727478"/>
    <w:rsid w:val="547E0F00"/>
    <w:rsid w:val="54B06F11"/>
    <w:rsid w:val="54B56DF4"/>
    <w:rsid w:val="54B93943"/>
    <w:rsid w:val="54BE5578"/>
    <w:rsid w:val="54BF52B5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A4479"/>
    <w:rsid w:val="551B7F0A"/>
    <w:rsid w:val="552A6B56"/>
    <w:rsid w:val="55314F13"/>
    <w:rsid w:val="5532385A"/>
    <w:rsid w:val="55333717"/>
    <w:rsid w:val="55381D42"/>
    <w:rsid w:val="55401B14"/>
    <w:rsid w:val="554748F2"/>
    <w:rsid w:val="554D414C"/>
    <w:rsid w:val="554E7279"/>
    <w:rsid w:val="55594FFB"/>
    <w:rsid w:val="55637CEB"/>
    <w:rsid w:val="55677DDA"/>
    <w:rsid w:val="556A71C0"/>
    <w:rsid w:val="55757FB9"/>
    <w:rsid w:val="55884237"/>
    <w:rsid w:val="558B1E31"/>
    <w:rsid w:val="558C7FAA"/>
    <w:rsid w:val="55900510"/>
    <w:rsid w:val="55947881"/>
    <w:rsid w:val="55A25EB7"/>
    <w:rsid w:val="55A82784"/>
    <w:rsid w:val="55A97512"/>
    <w:rsid w:val="55B63FD5"/>
    <w:rsid w:val="55C35A76"/>
    <w:rsid w:val="55D40743"/>
    <w:rsid w:val="55DD6F2A"/>
    <w:rsid w:val="55E73480"/>
    <w:rsid w:val="55E8339E"/>
    <w:rsid w:val="55F06771"/>
    <w:rsid w:val="560C022B"/>
    <w:rsid w:val="560D5F48"/>
    <w:rsid w:val="56106284"/>
    <w:rsid w:val="56182852"/>
    <w:rsid w:val="5632642A"/>
    <w:rsid w:val="56375B61"/>
    <w:rsid w:val="564944F4"/>
    <w:rsid w:val="564E5820"/>
    <w:rsid w:val="565104C5"/>
    <w:rsid w:val="56630C00"/>
    <w:rsid w:val="56721038"/>
    <w:rsid w:val="567739D2"/>
    <w:rsid w:val="56775A0A"/>
    <w:rsid w:val="5686536D"/>
    <w:rsid w:val="568B1DB1"/>
    <w:rsid w:val="56A55214"/>
    <w:rsid w:val="56A67978"/>
    <w:rsid w:val="56AC63C5"/>
    <w:rsid w:val="56C1700B"/>
    <w:rsid w:val="56C56513"/>
    <w:rsid w:val="56CF48FB"/>
    <w:rsid w:val="56D25618"/>
    <w:rsid w:val="56D5675C"/>
    <w:rsid w:val="56D7644B"/>
    <w:rsid w:val="56E373D5"/>
    <w:rsid w:val="56E81FA0"/>
    <w:rsid w:val="56E84A97"/>
    <w:rsid w:val="56F05010"/>
    <w:rsid w:val="56FB2A68"/>
    <w:rsid w:val="57011F3E"/>
    <w:rsid w:val="57050D7B"/>
    <w:rsid w:val="5705646B"/>
    <w:rsid w:val="57060649"/>
    <w:rsid w:val="572657E3"/>
    <w:rsid w:val="5732705F"/>
    <w:rsid w:val="57351D6F"/>
    <w:rsid w:val="573B7F99"/>
    <w:rsid w:val="576476C1"/>
    <w:rsid w:val="576E1940"/>
    <w:rsid w:val="57756BF9"/>
    <w:rsid w:val="57770501"/>
    <w:rsid w:val="577B3337"/>
    <w:rsid w:val="577D4F28"/>
    <w:rsid w:val="578B1816"/>
    <w:rsid w:val="57987A1F"/>
    <w:rsid w:val="57A33734"/>
    <w:rsid w:val="57AB6ADD"/>
    <w:rsid w:val="57B7178E"/>
    <w:rsid w:val="57B76EED"/>
    <w:rsid w:val="57BD72A7"/>
    <w:rsid w:val="57BE5838"/>
    <w:rsid w:val="57BF764E"/>
    <w:rsid w:val="57CB35DF"/>
    <w:rsid w:val="57D82354"/>
    <w:rsid w:val="57FC0156"/>
    <w:rsid w:val="57FC07D9"/>
    <w:rsid w:val="57FF6992"/>
    <w:rsid w:val="58036FF1"/>
    <w:rsid w:val="580F1B21"/>
    <w:rsid w:val="581B7E79"/>
    <w:rsid w:val="5837438C"/>
    <w:rsid w:val="58420FA1"/>
    <w:rsid w:val="58500F22"/>
    <w:rsid w:val="58587379"/>
    <w:rsid w:val="585D72B5"/>
    <w:rsid w:val="586D57A3"/>
    <w:rsid w:val="587917A0"/>
    <w:rsid w:val="587A4288"/>
    <w:rsid w:val="5880052B"/>
    <w:rsid w:val="588E3967"/>
    <w:rsid w:val="589E7444"/>
    <w:rsid w:val="58AD27D9"/>
    <w:rsid w:val="58B169A2"/>
    <w:rsid w:val="58B9636C"/>
    <w:rsid w:val="58C37133"/>
    <w:rsid w:val="58C93046"/>
    <w:rsid w:val="58D36BCB"/>
    <w:rsid w:val="58D8157C"/>
    <w:rsid w:val="58E11166"/>
    <w:rsid w:val="58E6349C"/>
    <w:rsid w:val="58E83DEC"/>
    <w:rsid w:val="58EF63EE"/>
    <w:rsid w:val="590317F0"/>
    <w:rsid w:val="59075000"/>
    <w:rsid w:val="59254E73"/>
    <w:rsid w:val="593559FD"/>
    <w:rsid w:val="593A4D15"/>
    <w:rsid w:val="594079B2"/>
    <w:rsid w:val="595B45EE"/>
    <w:rsid w:val="595C4A81"/>
    <w:rsid w:val="596A688E"/>
    <w:rsid w:val="59860400"/>
    <w:rsid w:val="5987482A"/>
    <w:rsid w:val="598A58C2"/>
    <w:rsid w:val="598C6F19"/>
    <w:rsid w:val="599C49A8"/>
    <w:rsid w:val="59A252D5"/>
    <w:rsid w:val="59A36725"/>
    <w:rsid w:val="59AD4E2E"/>
    <w:rsid w:val="59B14918"/>
    <w:rsid w:val="59B21BF9"/>
    <w:rsid w:val="59B37D53"/>
    <w:rsid w:val="59B80C41"/>
    <w:rsid w:val="59BB4EA3"/>
    <w:rsid w:val="59E9525B"/>
    <w:rsid w:val="59F70BAF"/>
    <w:rsid w:val="5A0627A6"/>
    <w:rsid w:val="5A297D0D"/>
    <w:rsid w:val="5A3C0F08"/>
    <w:rsid w:val="5A3E5B83"/>
    <w:rsid w:val="5A50588C"/>
    <w:rsid w:val="5A5663A3"/>
    <w:rsid w:val="5A5706C7"/>
    <w:rsid w:val="5A571746"/>
    <w:rsid w:val="5A594793"/>
    <w:rsid w:val="5A5B6E89"/>
    <w:rsid w:val="5A6253E3"/>
    <w:rsid w:val="5A641DE9"/>
    <w:rsid w:val="5A746DF6"/>
    <w:rsid w:val="5A8E6670"/>
    <w:rsid w:val="5A912613"/>
    <w:rsid w:val="5A9245E9"/>
    <w:rsid w:val="5A953D41"/>
    <w:rsid w:val="5AA12940"/>
    <w:rsid w:val="5AA75D85"/>
    <w:rsid w:val="5AAB08D2"/>
    <w:rsid w:val="5AB7299D"/>
    <w:rsid w:val="5ABC50F4"/>
    <w:rsid w:val="5ACC4940"/>
    <w:rsid w:val="5ACD3CD2"/>
    <w:rsid w:val="5AD7333E"/>
    <w:rsid w:val="5AD86A6D"/>
    <w:rsid w:val="5ADF4325"/>
    <w:rsid w:val="5AE8708E"/>
    <w:rsid w:val="5AEB6283"/>
    <w:rsid w:val="5AEC14F6"/>
    <w:rsid w:val="5AF124A4"/>
    <w:rsid w:val="5B0A4D6B"/>
    <w:rsid w:val="5B141085"/>
    <w:rsid w:val="5B266C40"/>
    <w:rsid w:val="5B28192B"/>
    <w:rsid w:val="5B342BAD"/>
    <w:rsid w:val="5B392581"/>
    <w:rsid w:val="5B4007EF"/>
    <w:rsid w:val="5B4D1F7C"/>
    <w:rsid w:val="5B51561D"/>
    <w:rsid w:val="5B570E24"/>
    <w:rsid w:val="5B607711"/>
    <w:rsid w:val="5B637E94"/>
    <w:rsid w:val="5B66707B"/>
    <w:rsid w:val="5B673066"/>
    <w:rsid w:val="5B6A48A8"/>
    <w:rsid w:val="5B731FA9"/>
    <w:rsid w:val="5B7400F5"/>
    <w:rsid w:val="5B785E83"/>
    <w:rsid w:val="5B7C1CD1"/>
    <w:rsid w:val="5B9004A9"/>
    <w:rsid w:val="5B907C6C"/>
    <w:rsid w:val="5B9251EF"/>
    <w:rsid w:val="5BAB5BC4"/>
    <w:rsid w:val="5BAC79AD"/>
    <w:rsid w:val="5BB20B74"/>
    <w:rsid w:val="5BB33170"/>
    <w:rsid w:val="5BC677D8"/>
    <w:rsid w:val="5BD0669E"/>
    <w:rsid w:val="5BEB0120"/>
    <w:rsid w:val="5BEC175C"/>
    <w:rsid w:val="5BEF3E44"/>
    <w:rsid w:val="5BEF69FF"/>
    <w:rsid w:val="5C053E62"/>
    <w:rsid w:val="5C064BA0"/>
    <w:rsid w:val="5C07067E"/>
    <w:rsid w:val="5C075BB6"/>
    <w:rsid w:val="5C097C4E"/>
    <w:rsid w:val="5C1A3A93"/>
    <w:rsid w:val="5C1C3059"/>
    <w:rsid w:val="5C235386"/>
    <w:rsid w:val="5C2A4E9F"/>
    <w:rsid w:val="5C37782E"/>
    <w:rsid w:val="5C3B6CFC"/>
    <w:rsid w:val="5C4735D5"/>
    <w:rsid w:val="5C4C2CF4"/>
    <w:rsid w:val="5C5E6BCC"/>
    <w:rsid w:val="5C6B1600"/>
    <w:rsid w:val="5C6E26BF"/>
    <w:rsid w:val="5C706511"/>
    <w:rsid w:val="5C7D70D1"/>
    <w:rsid w:val="5C8542A8"/>
    <w:rsid w:val="5C93251D"/>
    <w:rsid w:val="5CA6294E"/>
    <w:rsid w:val="5CCC1DEC"/>
    <w:rsid w:val="5CDB3358"/>
    <w:rsid w:val="5CED4E0C"/>
    <w:rsid w:val="5CEE1DD1"/>
    <w:rsid w:val="5CFB31F2"/>
    <w:rsid w:val="5CFF09AB"/>
    <w:rsid w:val="5D034EE9"/>
    <w:rsid w:val="5D0366E8"/>
    <w:rsid w:val="5D08684C"/>
    <w:rsid w:val="5D0A06B6"/>
    <w:rsid w:val="5D1307E8"/>
    <w:rsid w:val="5D212A05"/>
    <w:rsid w:val="5D28584C"/>
    <w:rsid w:val="5D2F4802"/>
    <w:rsid w:val="5D32239D"/>
    <w:rsid w:val="5D3444E6"/>
    <w:rsid w:val="5D3543FB"/>
    <w:rsid w:val="5D3F0BDF"/>
    <w:rsid w:val="5D5B7098"/>
    <w:rsid w:val="5D5D62C9"/>
    <w:rsid w:val="5D611B66"/>
    <w:rsid w:val="5D634782"/>
    <w:rsid w:val="5D654194"/>
    <w:rsid w:val="5D6E1B86"/>
    <w:rsid w:val="5D725A84"/>
    <w:rsid w:val="5D746389"/>
    <w:rsid w:val="5D7706E8"/>
    <w:rsid w:val="5D7D3801"/>
    <w:rsid w:val="5D8A2CFF"/>
    <w:rsid w:val="5D960EE9"/>
    <w:rsid w:val="5D9A0CFA"/>
    <w:rsid w:val="5D9B296A"/>
    <w:rsid w:val="5D9C251B"/>
    <w:rsid w:val="5DA53D05"/>
    <w:rsid w:val="5DB765B6"/>
    <w:rsid w:val="5DC848B4"/>
    <w:rsid w:val="5DD14397"/>
    <w:rsid w:val="5DD3123F"/>
    <w:rsid w:val="5DD45E00"/>
    <w:rsid w:val="5DD564E5"/>
    <w:rsid w:val="5DD71C7A"/>
    <w:rsid w:val="5DD734EC"/>
    <w:rsid w:val="5DDA4F5F"/>
    <w:rsid w:val="5DDF6E6E"/>
    <w:rsid w:val="5DEC05A1"/>
    <w:rsid w:val="5DEE0433"/>
    <w:rsid w:val="5DFD51DB"/>
    <w:rsid w:val="5E0B017F"/>
    <w:rsid w:val="5E0B0848"/>
    <w:rsid w:val="5E1D4A67"/>
    <w:rsid w:val="5E1F2E4C"/>
    <w:rsid w:val="5E237029"/>
    <w:rsid w:val="5E3358BB"/>
    <w:rsid w:val="5E3A3BD1"/>
    <w:rsid w:val="5E4E2212"/>
    <w:rsid w:val="5E4F1C2F"/>
    <w:rsid w:val="5E4F4B48"/>
    <w:rsid w:val="5E5203B8"/>
    <w:rsid w:val="5E53474B"/>
    <w:rsid w:val="5E5D2503"/>
    <w:rsid w:val="5E5D7D0E"/>
    <w:rsid w:val="5E6A5399"/>
    <w:rsid w:val="5E71373F"/>
    <w:rsid w:val="5E717191"/>
    <w:rsid w:val="5E7435D2"/>
    <w:rsid w:val="5E830708"/>
    <w:rsid w:val="5E831398"/>
    <w:rsid w:val="5E85633A"/>
    <w:rsid w:val="5E921A45"/>
    <w:rsid w:val="5E975294"/>
    <w:rsid w:val="5E975993"/>
    <w:rsid w:val="5EA75DFF"/>
    <w:rsid w:val="5EB51FDE"/>
    <w:rsid w:val="5EBA4472"/>
    <w:rsid w:val="5EC3227D"/>
    <w:rsid w:val="5EC504C9"/>
    <w:rsid w:val="5EC93320"/>
    <w:rsid w:val="5ECA3D37"/>
    <w:rsid w:val="5EE153F8"/>
    <w:rsid w:val="5EE836CB"/>
    <w:rsid w:val="5EEA322F"/>
    <w:rsid w:val="5EED7893"/>
    <w:rsid w:val="5EF427A1"/>
    <w:rsid w:val="5EFB2125"/>
    <w:rsid w:val="5EFB6F0A"/>
    <w:rsid w:val="5F0A3A61"/>
    <w:rsid w:val="5F114A3D"/>
    <w:rsid w:val="5F3370DF"/>
    <w:rsid w:val="5F683B6E"/>
    <w:rsid w:val="5F684490"/>
    <w:rsid w:val="5F697EE8"/>
    <w:rsid w:val="5F6D06D6"/>
    <w:rsid w:val="5F6E768C"/>
    <w:rsid w:val="5F875C0C"/>
    <w:rsid w:val="5F8A0701"/>
    <w:rsid w:val="5F8F0B9E"/>
    <w:rsid w:val="5F8F267A"/>
    <w:rsid w:val="5F941274"/>
    <w:rsid w:val="5F99518A"/>
    <w:rsid w:val="5F9A540B"/>
    <w:rsid w:val="5FAB7F08"/>
    <w:rsid w:val="5FB7185B"/>
    <w:rsid w:val="5FB94C48"/>
    <w:rsid w:val="5FBE576C"/>
    <w:rsid w:val="5FDE327E"/>
    <w:rsid w:val="5FEB4E90"/>
    <w:rsid w:val="5FF37587"/>
    <w:rsid w:val="5FF85D1E"/>
    <w:rsid w:val="5FFE57B7"/>
    <w:rsid w:val="60060CD5"/>
    <w:rsid w:val="60085AA3"/>
    <w:rsid w:val="600E362B"/>
    <w:rsid w:val="60183392"/>
    <w:rsid w:val="601A4CB1"/>
    <w:rsid w:val="601B56CB"/>
    <w:rsid w:val="60237FFC"/>
    <w:rsid w:val="602C236D"/>
    <w:rsid w:val="603114E4"/>
    <w:rsid w:val="603967D7"/>
    <w:rsid w:val="603D3325"/>
    <w:rsid w:val="604040A8"/>
    <w:rsid w:val="60470CE3"/>
    <w:rsid w:val="60485D19"/>
    <w:rsid w:val="604D29BA"/>
    <w:rsid w:val="606711B4"/>
    <w:rsid w:val="60673C40"/>
    <w:rsid w:val="606A52D4"/>
    <w:rsid w:val="606C5678"/>
    <w:rsid w:val="607A0897"/>
    <w:rsid w:val="607C3753"/>
    <w:rsid w:val="607F6EAB"/>
    <w:rsid w:val="608D1D4E"/>
    <w:rsid w:val="60911FEF"/>
    <w:rsid w:val="60923D36"/>
    <w:rsid w:val="6092569C"/>
    <w:rsid w:val="609D0F5A"/>
    <w:rsid w:val="60AC72CC"/>
    <w:rsid w:val="60AD0357"/>
    <w:rsid w:val="60B004BE"/>
    <w:rsid w:val="60B6381B"/>
    <w:rsid w:val="60BA604C"/>
    <w:rsid w:val="60C302BA"/>
    <w:rsid w:val="60C30855"/>
    <w:rsid w:val="60C338B1"/>
    <w:rsid w:val="60D4742F"/>
    <w:rsid w:val="60D67C80"/>
    <w:rsid w:val="60D95276"/>
    <w:rsid w:val="60E06DEB"/>
    <w:rsid w:val="60E51841"/>
    <w:rsid w:val="61110088"/>
    <w:rsid w:val="611647A0"/>
    <w:rsid w:val="61421EFD"/>
    <w:rsid w:val="614F6F7E"/>
    <w:rsid w:val="61554BAC"/>
    <w:rsid w:val="615C5041"/>
    <w:rsid w:val="61640524"/>
    <w:rsid w:val="617A6EE7"/>
    <w:rsid w:val="617B616B"/>
    <w:rsid w:val="6182260C"/>
    <w:rsid w:val="6190565E"/>
    <w:rsid w:val="61AA2608"/>
    <w:rsid w:val="61AD68BC"/>
    <w:rsid w:val="61AE786E"/>
    <w:rsid w:val="61B173D2"/>
    <w:rsid w:val="61B25E8F"/>
    <w:rsid w:val="61BC4BE1"/>
    <w:rsid w:val="61C12DE2"/>
    <w:rsid w:val="61D43A2B"/>
    <w:rsid w:val="61E34474"/>
    <w:rsid w:val="61ED6D6A"/>
    <w:rsid w:val="61FF316E"/>
    <w:rsid w:val="62014BDB"/>
    <w:rsid w:val="621542CB"/>
    <w:rsid w:val="621C2930"/>
    <w:rsid w:val="624263A2"/>
    <w:rsid w:val="625272C3"/>
    <w:rsid w:val="626A1B4F"/>
    <w:rsid w:val="62715337"/>
    <w:rsid w:val="6280204D"/>
    <w:rsid w:val="6290769B"/>
    <w:rsid w:val="62943D08"/>
    <w:rsid w:val="629718F1"/>
    <w:rsid w:val="62A05735"/>
    <w:rsid w:val="62A411F8"/>
    <w:rsid w:val="62A81A26"/>
    <w:rsid w:val="62B0109F"/>
    <w:rsid w:val="62BA7A46"/>
    <w:rsid w:val="62C376AC"/>
    <w:rsid w:val="62CE13CB"/>
    <w:rsid w:val="62D2197B"/>
    <w:rsid w:val="62DB028F"/>
    <w:rsid w:val="62EE4623"/>
    <w:rsid w:val="62F214BD"/>
    <w:rsid w:val="62F6011A"/>
    <w:rsid w:val="62FD2BA9"/>
    <w:rsid w:val="6327422B"/>
    <w:rsid w:val="6328597C"/>
    <w:rsid w:val="633B249F"/>
    <w:rsid w:val="633D1842"/>
    <w:rsid w:val="635123F0"/>
    <w:rsid w:val="63552D76"/>
    <w:rsid w:val="6359778B"/>
    <w:rsid w:val="635B63E3"/>
    <w:rsid w:val="63677698"/>
    <w:rsid w:val="63771D13"/>
    <w:rsid w:val="638C3395"/>
    <w:rsid w:val="63B37325"/>
    <w:rsid w:val="63B82D87"/>
    <w:rsid w:val="63BA3154"/>
    <w:rsid w:val="63C509F9"/>
    <w:rsid w:val="63CA2E8B"/>
    <w:rsid w:val="63CF097D"/>
    <w:rsid w:val="63D4153E"/>
    <w:rsid w:val="63DA0FA3"/>
    <w:rsid w:val="63DC7755"/>
    <w:rsid w:val="63E43D21"/>
    <w:rsid w:val="63E774B3"/>
    <w:rsid w:val="63F47D2A"/>
    <w:rsid w:val="63F6335E"/>
    <w:rsid w:val="63FE2D33"/>
    <w:rsid w:val="64046427"/>
    <w:rsid w:val="640B5788"/>
    <w:rsid w:val="642369FC"/>
    <w:rsid w:val="64254882"/>
    <w:rsid w:val="64264A79"/>
    <w:rsid w:val="642A38B2"/>
    <w:rsid w:val="64304E58"/>
    <w:rsid w:val="64311867"/>
    <w:rsid w:val="64391ED3"/>
    <w:rsid w:val="643D2685"/>
    <w:rsid w:val="6445632E"/>
    <w:rsid w:val="64566F9D"/>
    <w:rsid w:val="64596CB3"/>
    <w:rsid w:val="64742B63"/>
    <w:rsid w:val="647949B0"/>
    <w:rsid w:val="647E661E"/>
    <w:rsid w:val="648939AA"/>
    <w:rsid w:val="648C635C"/>
    <w:rsid w:val="64941876"/>
    <w:rsid w:val="649B1AC2"/>
    <w:rsid w:val="649B4C1C"/>
    <w:rsid w:val="64A7467B"/>
    <w:rsid w:val="64B53322"/>
    <w:rsid w:val="64C41B57"/>
    <w:rsid w:val="64C61AF8"/>
    <w:rsid w:val="64C86505"/>
    <w:rsid w:val="64E65F95"/>
    <w:rsid w:val="64EB5728"/>
    <w:rsid w:val="64FA211B"/>
    <w:rsid w:val="64FB4412"/>
    <w:rsid w:val="64FE700F"/>
    <w:rsid w:val="6500327F"/>
    <w:rsid w:val="6503698F"/>
    <w:rsid w:val="6506609B"/>
    <w:rsid w:val="65083216"/>
    <w:rsid w:val="650A57D3"/>
    <w:rsid w:val="65460728"/>
    <w:rsid w:val="654835A8"/>
    <w:rsid w:val="654C7056"/>
    <w:rsid w:val="65733E15"/>
    <w:rsid w:val="65822810"/>
    <w:rsid w:val="65870C45"/>
    <w:rsid w:val="658F6B54"/>
    <w:rsid w:val="659705FF"/>
    <w:rsid w:val="659C60A2"/>
    <w:rsid w:val="65A47504"/>
    <w:rsid w:val="65AA6346"/>
    <w:rsid w:val="65B01B69"/>
    <w:rsid w:val="65B56C47"/>
    <w:rsid w:val="65B7794D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F118E"/>
    <w:rsid w:val="66052F43"/>
    <w:rsid w:val="66065483"/>
    <w:rsid w:val="6609487E"/>
    <w:rsid w:val="661D25CE"/>
    <w:rsid w:val="66206CF2"/>
    <w:rsid w:val="66265846"/>
    <w:rsid w:val="66287C9C"/>
    <w:rsid w:val="662E4097"/>
    <w:rsid w:val="663A34FB"/>
    <w:rsid w:val="664805B8"/>
    <w:rsid w:val="665572E9"/>
    <w:rsid w:val="665B14BD"/>
    <w:rsid w:val="665B55EA"/>
    <w:rsid w:val="66641D58"/>
    <w:rsid w:val="66655F85"/>
    <w:rsid w:val="667C7AEC"/>
    <w:rsid w:val="667F71BA"/>
    <w:rsid w:val="66863A0F"/>
    <w:rsid w:val="66984358"/>
    <w:rsid w:val="669B7C76"/>
    <w:rsid w:val="66A200F8"/>
    <w:rsid w:val="66A205F5"/>
    <w:rsid w:val="66A30EC2"/>
    <w:rsid w:val="66A9021A"/>
    <w:rsid w:val="66AA4BA8"/>
    <w:rsid w:val="66C56058"/>
    <w:rsid w:val="66C955BD"/>
    <w:rsid w:val="66CF3182"/>
    <w:rsid w:val="66D97420"/>
    <w:rsid w:val="66DC317D"/>
    <w:rsid w:val="66DD5461"/>
    <w:rsid w:val="66E10E78"/>
    <w:rsid w:val="66E617C5"/>
    <w:rsid w:val="66E910C9"/>
    <w:rsid w:val="670C6D27"/>
    <w:rsid w:val="670D67CE"/>
    <w:rsid w:val="67105BAB"/>
    <w:rsid w:val="671762A2"/>
    <w:rsid w:val="671B1631"/>
    <w:rsid w:val="672C45D9"/>
    <w:rsid w:val="67302DC3"/>
    <w:rsid w:val="67316C6B"/>
    <w:rsid w:val="6734198F"/>
    <w:rsid w:val="674318B2"/>
    <w:rsid w:val="674D4B22"/>
    <w:rsid w:val="67570422"/>
    <w:rsid w:val="675D31B4"/>
    <w:rsid w:val="67611575"/>
    <w:rsid w:val="676D2F4B"/>
    <w:rsid w:val="677A266A"/>
    <w:rsid w:val="677C1A81"/>
    <w:rsid w:val="677E7198"/>
    <w:rsid w:val="678A426A"/>
    <w:rsid w:val="67914BE1"/>
    <w:rsid w:val="679305CA"/>
    <w:rsid w:val="679348FA"/>
    <w:rsid w:val="67A01F16"/>
    <w:rsid w:val="67A2026E"/>
    <w:rsid w:val="67AD0902"/>
    <w:rsid w:val="67B163D1"/>
    <w:rsid w:val="67B21931"/>
    <w:rsid w:val="67CF3BE0"/>
    <w:rsid w:val="67D1123C"/>
    <w:rsid w:val="67DE0B68"/>
    <w:rsid w:val="67F45538"/>
    <w:rsid w:val="67F67092"/>
    <w:rsid w:val="68005932"/>
    <w:rsid w:val="680239EB"/>
    <w:rsid w:val="680722DA"/>
    <w:rsid w:val="68075891"/>
    <w:rsid w:val="68096B99"/>
    <w:rsid w:val="681C6C95"/>
    <w:rsid w:val="682211D1"/>
    <w:rsid w:val="68445430"/>
    <w:rsid w:val="685B0620"/>
    <w:rsid w:val="685C6395"/>
    <w:rsid w:val="686318DD"/>
    <w:rsid w:val="68635145"/>
    <w:rsid w:val="686D19A4"/>
    <w:rsid w:val="687914A4"/>
    <w:rsid w:val="687F607E"/>
    <w:rsid w:val="6887281F"/>
    <w:rsid w:val="688B4E92"/>
    <w:rsid w:val="689565AD"/>
    <w:rsid w:val="689A41FB"/>
    <w:rsid w:val="689E57F0"/>
    <w:rsid w:val="68A34C5C"/>
    <w:rsid w:val="68CA6EAF"/>
    <w:rsid w:val="68D10697"/>
    <w:rsid w:val="68D507C6"/>
    <w:rsid w:val="68E24981"/>
    <w:rsid w:val="68E62C62"/>
    <w:rsid w:val="68ED60A5"/>
    <w:rsid w:val="69123F86"/>
    <w:rsid w:val="691C1D81"/>
    <w:rsid w:val="691C3525"/>
    <w:rsid w:val="691C4B46"/>
    <w:rsid w:val="69216128"/>
    <w:rsid w:val="69250799"/>
    <w:rsid w:val="69280874"/>
    <w:rsid w:val="692E74C3"/>
    <w:rsid w:val="69307671"/>
    <w:rsid w:val="695D6B21"/>
    <w:rsid w:val="69611EE7"/>
    <w:rsid w:val="69621F5B"/>
    <w:rsid w:val="696C708E"/>
    <w:rsid w:val="696F4D5D"/>
    <w:rsid w:val="69850877"/>
    <w:rsid w:val="698C13C5"/>
    <w:rsid w:val="69C12919"/>
    <w:rsid w:val="69EB1E1E"/>
    <w:rsid w:val="69F0745A"/>
    <w:rsid w:val="6A0D20F2"/>
    <w:rsid w:val="6A1757B7"/>
    <w:rsid w:val="6A1A2066"/>
    <w:rsid w:val="6A1D59EC"/>
    <w:rsid w:val="6A247F72"/>
    <w:rsid w:val="6A2E5EF8"/>
    <w:rsid w:val="6A3A6D15"/>
    <w:rsid w:val="6A3E2393"/>
    <w:rsid w:val="6A435B92"/>
    <w:rsid w:val="6A444DB8"/>
    <w:rsid w:val="6A471880"/>
    <w:rsid w:val="6A4C28F4"/>
    <w:rsid w:val="6A4D4828"/>
    <w:rsid w:val="6A516AC3"/>
    <w:rsid w:val="6A5303BA"/>
    <w:rsid w:val="6A5B28ED"/>
    <w:rsid w:val="6A677080"/>
    <w:rsid w:val="6A711183"/>
    <w:rsid w:val="6A720BCF"/>
    <w:rsid w:val="6A7B4B9C"/>
    <w:rsid w:val="6AAE7116"/>
    <w:rsid w:val="6AAF014C"/>
    <w:rsid w:val="6ABD60AB"/>
    <w:rsid w:val="6AC07690"/>
    <w:rsid w:val="6ACB082B"/>
    <w:rsid w:val="6AD3247E"/>
    <w:rsid w:val="6AD44D6B"/>
    <w:rsid w:val="6AE4699C"/>
    <w:rsid w:val="6AED1BE8"/>
    <w:rsid w:val="6AF00853"/>
    <w:rsid w:val="6AF317C6"/>
    <w:rsid w:val="6B004C6B"/>
    <w:rsid w:val="6B09696B"/>
    <w:rsid w:val="6B2B0EFD"/>
    <w:rsid w:val="6B2C13E4"/>
    <w:rsid w:val="6B2D2EEB"/>
    <w:rsid w:val="6B322952"/>
    <w:rsid w:val="6B410613"/>
    <w:rsid w:val="6B493E2C"/>
    <w:rsid w:val="6B4B0A4C"/>
    <w:rsid w:val="6B4B36C9"/>
    <w:rsid w:val="6B4E75E6"/>
    <w:rsid w:val="6B50310B"/>
    <w:rsid w:val="6B5045E2"/>
    <w:rsid w:val="6B5B3B9E"/>
    <w:rsid w:val="6B5C4553"/>
    <w:rsid w:val="6B692897"/>
    <w:rsid w:val="6B695848"/>
    <w:rsid w:val="6B6A1A57"/>
    <w:rsid w:val="6B6D1317"/>
    <w:rsid w:val="6B730045"/>
    <w:rsid w:val="6B736A2E"/>
    <w:rsid w:val="6B762264"/>
    <w:rsid w:val="6B7964E9"/>
    <w:rsid w:val="6B8642C7"/>
    <w:rsid w:val="6B874340"/>
    <w:rsid w:val="6B884219"/>
    <w:rsid w:val="6B90781F"/>
    <w:rsid w:val="6BA6663C"/>
    <w:rsid w:val="6BA9194F"/>
    <w:rsid w:val="6BB07973"/>
    <w:rsid w:val="6BCA7437"/>
    <w:rsid w:val="6BE71622"/>
    <w:rsid w:val="6BE727F5"/>
    <w:rsid w:val="6C001608"/>
    <w:rsid w:val="6C08064C"/>
    <w:rsid w:val="6C0858B3"/>
    <w:rsid w:val="6C132D21"/>
    <w:rsid w:val="6C14347F"/>
    <w:rsid w:val="6C240DF3"/>
    <w:rsid w:val="6C45610F"/>
    <w:rsid w:val="6C59472D"/>
    <w:rsid w:val="6C5A4564"/>
    <w:rsid w:val="6C603744"/>
    <w:rsid w:val="6C635845"/>
    <w:rsid w:val="6C637CCF"/>
    <w:rsid w:val="6C6B4F91"/>
    <w:rsid w:val="6C7802EB"/>
    <w:rsid w:val="6C89456C"/>
    <w:rsid w:val="6C9143CB"/>
    <w:rsid w:val="6CA20D5B"/>
    <w:rsid w:val="6CA75F1D"/>
    <w:rsid w:val="6CAF7564"/>
    <w:rsid w:val="6CB71894"/>
    <w:rsid w:val="6CB91201"/>
    <w:rsid w:val="6CC13ACE"/>
    <w:rsid w:val="6CD63FB3"/>
    <w:rsid w:val="6CD73CDB"/>
    <w:rsid w:val="6CD91323"/>
    <w:rsid w:val="6CFE035F"/>
    <w:rsid w:val="6D056EA6"/>
    <w:rsid w:val="6D1766A9"/>
    <w:rsid w:val="6D19067C"/>
    <w:rsid w:val="6D1F423E"/>
    <w:rsid w:val="6D221E52"/>
    <w:rsid w:val="6D227835"/>
    <w:rsid w:val="6D231354"/>
    <w:rsid w:val="6D2834C8"/>
    <w:rsid w:val="6D2F1F0B"/>
    <w:rsid w:val="6D343A12"/>
    <w:rsid w:val="6D3C6626"/>
    <w:rsid w:val="6D5D0DB5"/>
    <w:rsid w:val="6D6855B1"/>
    <w:rsid w:val="6D6C5D15"/>
    <w:rsid w:val="6D7157A1"/>
    <w:rsid w:val="6D7B4AB7"/>
    <w:rsid w:val="6D836C02"/>
    <w:rsid w:val="6D89784B"/>
    <w:rsid w:val="6D8C7F73"/>
    <w:rsid w:val="6D9057BE"/>
    <w:rsid w:val="6D9E0566"/>
    <w:rsid w:val="6DBE7F27"/>
    <w:rsid w:val="6DC262E7"/>
    <w:rsid w:val="6DD70DD8"/>
    <w:rsid w:val="6DED1766"/>
    <w:rsid w:val="6DF43BD4"/>
    <w:rsid w:val="6DF91ABA"/>
    <w:rsid w:val="6E0E1FAB"/>
    <w:rsid w:val="6E2143FB"/>
    <w:rsid w:val="6E295363"/>
    <w:rsid w:val="6E317378"/>
    <w:rsid w:val="6E3A4724"/>
    <w:rsid w:val="6E3E5591"/>
    <w:rsid w:val="6E4215C6"/>
    <w:rsid w:val="6E4B0158"/>
    <w:rsid w:val="6E4D611F"/>
    <w:rsid w:val="6E567C9E"/>
    <w:rsid w:val="6E635028"/>
    <w:rsid w:val="6E636A71"/>
    <w:rsid w:val="6E68362E"/>
    <w:rsid w:val="6E685B0A"/>
    <w:rsid w:val="6E687486"/>
    <w:rsid w:val="6E73404A"/>
    <w:rsid w:val="6E7355AA"/>
    <w:rsid w:val="6E7D300B"/>
    <w:rsid w:val="6E823708"/>
    <w:rsid w:val="6E8A3EFB"/>
    <w:rsid w:val="6E920B5B"/>
    <w:rsid w:val="6E990B16"/>
    <w:rsid w:val="6E995AB6"/>
    <w:rsid w:val="6EA80CC5"/>
    <w:rsid w:val="6EB169D3"/>
    <w:rsid w:val="6EB21539"/>
    <w:rsid w:val="6EB829B1"/>
    <w:rsid w:val="6EB978A9"/>
    <w:rsid w:val="6ECC3A24"/>
    <w:rsid w:val="6ED86D3E"/>
    <w:rsid w:val="6EE9744F"/>
    <w:rsid w:val="6EEC3F7C"/>
    <w:rsid w:val="6EF3602C"/>
    <w:rsid w:val="6EF65A2C"/>
    <w:rsid w:val="6EFE1485"/>
    <w:rsid w:val="6F0247B3"/>
    <w:rsid w:val="6F031F8E"/>
    <w:rsid w:val="6F09008D"/>
    <w:rsid w:val="6F0A5BD3"/>
    <w:rsid w:val="6F0C735C"/>
    <w:rsid w:val="6F0D382C"/>
    <w:rsid w:val="6F2632E8"/>
    <w:rsid w:val="6F30363A"/>
    <w:rsid w:val="6F3316E5"/>
    <w:rsid w:val="6F3F40F9"/>
    <w:rsid w:val="6F424B2F"/>
    <w:rsid w:val="6F5E0205"/>
    <w:rsid w:val="6F632569"/>
    <w:rsid w:val="6F635644"/>
    <w:rsid w:val="6F635E50"/>
    <w:rsid w:val="6F6F14E1"/>
    <w:rsid w:val="6F76254B"/>
    <w:rsid w:val="6F7C40AC"/>
    <w:rsid w:val="6F8040F4"/>
    <w:rsid w:val="6F877B03"/>
    <w:rsid w:val="6F905BB3"/>
    <w:rsid w:val="6F9A3007"/>
    <w:rsid w:val="6FA629D4"/>
    <w:rsid w:val="6FA75ADB"/>
    <w:rsid w:val="6FB77ED4"/>
    <w:rsid w:val="6FBD3BBF"/>
    <w:rsid w:val="6FBD4D2F"/>
    <w:rsid w:val="6FBF4710"/>
    <w:rsid w:val="6FC9109F"/>
    <w:rsid w:val="6FCC6779"/>
    <w:rsid w:val="6FDB518F"/>
    <w:rsid w:val="6FE529ED"/>
    <w:rsid w:val="6FF733A7"/>
    <w:rsid w:val="70003DD9"/>
    <w:rsid w:val="70072915"/>
    <w:rsid w:val="70172090"/>
    <w:rsid w:val="70195E88"/>
    <w:rsid w:val="701D43BA"/>
    <w:rsid w:val="70216162"/>
    <w:rsid w:val="70291C03"/>
    <w:rsid w:val="702B6F43"/>
    <w:rsid w:val="7032079E"/>
    <w:rsid w:val="703C186A"/>
    <w:rsid w:val="704C34F0"/>
    <w:rsid w:val="70570007"/>
    <w:rsid w:val="705843B4"/>
    <w:rsid w:val="7058635C"/>
    <w:rsid w:val="70611FB0"/>
    <w:rsid w:val="70655A58"/>
    <w:rsid w:val="706A37E5"/>
    <w:rsid w:val="70822BAD"/>
    <w:rsid w:val="708746BC"/>
    <w:rsid w:val="708A15C0"/>
    <w:rsid w:val="708F7F54"/>
    <w:rsid w:val="709E3D85"/>
    <w:rsid w:val="70A36A35"/>
    <w:rsid w:val="70A708B1"/>
    <w:rsid w:val="70A97192"/>
    <w:rsid w:val="70AC660B"/>
    <w:rsid w:val="70B17138"/>
    <w:rsid w:val="70BB2EF0"/>
    <w:rsid w:val="70BC2801"/>
    <w:rsid w:val="70C6646C"/>
    <w:rsid w:val="70D82DC7"/>
    <w:rsid w:val="70E4685D"/>
    <w:rsid w:val="70FC2D1E"/>
    <w:rsid w:val="71014479"/>
    <w:rsid w:val="71015D6B"/>
    <w:rsid w:val="71067D7F"/>
    <w:rsid w:val="71071665"/>
    <w:rsid w:val="71115386"/>
    <w:rsid w:val="71126908"/>
    <w:rsid w:val="71151975"/>
    <w:rsid w:val="711D1189"/>
    <w:rsid w:val="712A2C1F"/>
    <w:rsid w:val="712A5215"/>
    <w:rsid w:val="712F2B3D"/>
    <w:rsid w:val="71336A65"/>
    <w:rsid w:val="713A6008"/>
    <w:rsid w:val="7144725F"/>
    <w:rsid w:val="71477B0C"/>
    <w:rsid w:val="7148395C"/>
    <w:rsid w:val="714B215B"/>
    <w:rsid w:val="714E2D72"/>
    <w:rsid w:val="71545B37"/>
    <w:rsid w:val="71570E43"/>
    <w:rsid w:val="71573E01"/>
    <w:rsid w:val="716F00B2"/>
    <w:rsid w:val="71702748"/>
    <w:rsid w:val="71867894"/>
    <w:rsid w:val="718E3AA9"/>
    <w:rsid w:val="71920F6D"/>
    <w:rsid w:val="7196106A"/>
    <w:rsid w:val="719E0160"/>
    <w:rsid w:val="719F7A78"/>
    <w:rsid w:val="71A03079"/>
    <w:rsid w:val="71A30C53"/>
    <w:rsid w:val="71AD22C0"/>
    <w:rsid w:val="71B623F6"/>
    <w:rsid w:val="71B84778"/>
    <w:rsid w:val="71C17B7E"/>
    <w:rsid w:val="71C7540C"/>
    <w:rsid w:val="71E857A5"/>
    <w:rsid w:val="71F64A63"/>
    <w:rsid w:val="71F870B8"/>
    <w:rsid w:val="71F9130C"/>
    <w:rsid w:val="72021233"/>
    <w:rsid w:val="720B2A1D"/>
    <w:rsid w:val="72197AB8"/>
    <w:rsid w:val="722D2DD1"/>
    <w:rsid w:val="7231773E"/>
    <w:rsid w:val="7234129A"/>
    <w:rsid w:val="72502F9F"/>
    <w:rsid w:val="7251515C"/>
    <w:rsid w:val="725817D3"/>
    <w:rsid w:val="726E6AD4"/>
    <w:rsid w:val="727C422C"/>
    <w:rsid w:val="7288329F"/>
    <w:rsid w:val="728D72D4"/>
    <w:rsid w:val="728E71EE"/>
    <w:rsid w:val="7292045A"/>
    <w:rsid w:val="72974DBE"/>
    <w:rsid w:val="72983FF8"/>
    <w:rsid w:val="72985E1E"/>
    <w:rsid w:val="72A20C20"/>
    <w:rsid w:val="72AC5E95"/>
    <w:rsid w:val="72BF43E3"/>
    <w:rsid w:val="72C13ED7"/>
    <w:rsid w:val="72CF1AC7"/>
    <w:rsid w:val="72D51F74"/>
    <w:rsid w:val="72DC0F93"/>
    <w:rsid w:val="72DD2607"/>
    <w:rsid w:val="72E42AFA"/>
    <w:rsid w:val="72E85578"/>
    <w:rsid w:val="72EB4466"/>
    <w:rsid w:val="72FD426E"/>
    <w:rsid w:val="73043CFC"/>
    <w:rsid w:val="7317244F"/>
    <w:rsid w:val="732B736C"/>
    <w:rsid w:val="732C334F"/>
    <w:rsid w:val="733501BF"/>
    <w:rsid w:val="734F0C79"/>
    <w:rsid w:val="734F4185"/>
    <w:rsid w:val="73520620"/>
    <w:rsid w:val="73536078"/>
    <w:rsid w:val="7363274A"/>
    <w:rsid w:val="73691A4A"/>
    <w:rsid w:val="7371152B"/>
    <w:rsid w:val="73777B4D"/>
    <w:rsid w:val="738A6895"/>
    <w:rsid w:val="738D1AFA"/>
    <w:rsid w:val="73917325"/>
    <w:rsid w:val="7395427D"/>
    <w:rsid w:val="73AE5485"/>
    <w:rsid w:val="73B1087F"/>
    <w:rsid w:val="73BC7089"/>
    <w:rsid w:val="73BE7067"/>
    <w:rsid w:val="73E406FD"/>
    <w:rsid w:val="73E52294"/>
    <w:rsid w:val="73EC5464"/>
    <w:rsid w:val="73FF2D64"/>
    <w:rsid w:val="74137154"/>
    <w:rsid w:val="741819AA"/>
    <w:rsid w:val="7421310D"/>
    <w:rsid w:val="74257F79"/>
    <w:rsid w:val="74273820"/>
    <w:rsid w:val="7427471C"/>
    <w:rsid w:val="74281B3F"/>
    <w:rsid w:val="742D7CD7"/>
    <w:rsid w:val="74355B0B"/>
    <w:rsid w:val="743C33B0"/>
    <w:rsid w:val="743C7157"/>
    <w:rsid w:val="743C71DA"/>
    <w:rsid w:val="74405F97"/>
    <w:rsid w:val="74416F54"/>
    <w:rsid w:val="744B354F"/>
    <w:rsid w:val="7450294E"/>
    <w:rsid w:val="74543139"/>
    <w:rsid w:val="74672BF8"/>
    <w:rsid w:val="746B732F"/>
    <w:rsid w:val="746E18CB"/>
    <w:rsid w:val="746F3904"/>
    <w:rsid w:val="748D52FA"/>
    <w:rsid w:val="74993216"/>
    <w:rsid w:val="74A25132"/>
    <w:rsid w:val="74B44784"/>
    <w:rsid w:val="74B808BF"/>
    <w:rsid w:val="74C03187"/>
    <w:rsid w:val="74E427B4"/>
    <w:rsid w:val="74E4756E"/>
    <w:rsid w:val="74EA77E7"/>
    <w:rsid w:val="74ED19FF"/>
    <w:rsid w:val="75084E8F"/>
    <w:rsid w:val="7509261E"/>
    <w:rsid w:val="75202656"/>
    <w:rsid w:val="752231CE"/>
    <w:rsid w:val="75276DE2"/>
    <w:rsid w:val="753F3D3B"/>
    <w:rsid w:val="754723D0"/>
    <w:rsid w:val="75482D09"/>
    <w:rsid w:val="75633812"/>
    <w:rsid w:val="756F29D2"/>
    <w:rsid w:val="75752B04"/>
    <w:rsid w:val="758849E0"/>
    <w:rsid w:val="758910BB"/>
    <w:rsid w:val="75920C70"/>
    <w:rsid w:val="75955DA9"/>
    <w:rsid w:val="759601E2"/>
    <w:rsid w:val="75977910"/>
    <w:rsid w:val="759F2A35"/>
    <w:rsid w:val="75AD4ED0"/>
    <w:rsid w:val="75B15C41"/>
    <w:rsid w:val="75CC5191"/>
    <w:rsid w:val="75CC694A"/>
    <w:rsid w:val="75D12923"/>
    <w:rsid w:val="75D173F4"/>
    <w:rsid w:val="75EA364B"/>
    <w:rsid w:val="75F20996"/>
    <w:rsid w:val="75F65644"/>
    <w:rsid w:val="75F96973"/>
    <w:rsid w:val="76035FE9"/>
    <w:rsid w:val="760A4340"/>
    <w:rsid w:val="76123E1D"/>
    <w:rsid w:val="761270F3"/>
    <w:rsid w:val="761724E5"/>
    <w:rsid w:val="762545DB"/>
    <w:rsid w:val="762A17C0"/>
    <w:rsid w:val="762B7A6C"/>
    <w:rsid w:val="762E6798"/>
    <w:rsid w:val="763E6F8E"/>
    <w:rsid w:val="76425118"/>
    <w:rsid w:val="764838B9"/>
    <w:rsid w:val="764B15DA"/>
    <w:rsid w:val="764C09B4"/>
    <w:rsid w:val="764F5A52"/>
    <w:rsid w:val="76521C57"/>
    <w:rsid w:val="766163C1"/>
    <w:rsid w:val="76665926"/>
    <w:rsid w:val="766A4A0D"/>
    <w:rsid w:val="768C454B"/>
    <w:rsid w:val="7692667A"/>
    <w:rsid w:val="76982273"/>
    <w:rsid w:val="769A7352"/>
    <w:rsid w:val="769C4619"/>
    <w:rsid w:val="76A177B8"/>
    <w:rsid w:val="76A766BF"/>
    <w:rsid w:val="76AD2761"/>
    <w:rsid w:val="76B64E53"/>
    <w:rsid w:val="76B8001A"/>
    <w:rsid w:val="76B81599"/>
    <w:rsid w:val="76B97D11"/>
    <w:rsid w:val="76BB2F21"/>
    <w:rsid w:val="76BC314A"/>
    <w:rsid w:val="76C12918"/>
    <w:rsid w:val="76CC16BA"/>
    <w:rsid w:val="76CF29D3"/>
    <w:rsid w:val="76E91124"/>
    <w:rsid w:val="76EB0D11"/>
    <w:rsid w:val="76EC51FD"/>
    <w:rsid w:val="76F410B8"/>
    <w:rsid w:val="76F70779"/>
    <w:rsid w:val="76F71C30"/>
    <w:rsid w:val="77001F24"/>
    <w:rsid w:val="770A6C33"/>
    <w:rsid w:val="771A04D1"/>
    <w:rsid w:val="771B67DF"/>
    <w:rsid w:val="771E64D7"/>
    <w:rsid w:val="77240552"/>
    <w:rsid w:val="77272CAB"/>
    <w:rsid w:val="772B4341"/>
    <w:rsid w:val="7731599F"/>
    <w:rsid w:val="77451578"/>
    <w:rsid w:val="774963F2"/>
    <w:rsid w:val="77576666"/>
    <w:rsid w:val="77636E18"/>
    <w:rsid w:val="776564EF"/>
    <w:rsid w:val="776709A1"/>
    <w:rsid w:val="77674898"/>
    <w:rsid w:val="77692EA3"/>
    <w:rsid w:val="77695538"/>
    <w:rsid w:val="7773758E"/>
    <w:rsid w:val="77825248"/>
    <w:rsid w:val="7785098B"/>
    <w:rsid w:val="77870D91"/>
    <w:rsid w:val="778A3229"/>
    <w:rsid w:val="779258CC"/>
    <w:rsid w:val="7794068F"/>
    <w:rsid w:val="779418F6"/>
    <w:rsid w:val="779A012A"/>
    <w:rsid w:val="779A096B"/>
    <w:rsid w:val="779B52FF"/>
    <w:rsid w:val="779C011D"/>
    <w:rsid w:val="77A00E75"/>
    <w:rsid w:val="77A80D17"/>
    <w:rsid w:val="77B841F3"/>
    <w:rsid w:val="77B92EF8"/>
    <w:rsid w:val="77B9719D"/>
    <w:rsid w:val="77C078B1"/>
    <w:rsid w:val="77CE7C36"/>
    <w:rsid w:val="77E537F1"/>
    <w:rsid w:val="77E66E3C"/>
    <w:rsid w:val="77E84D6F"/>
    <w:rsid w:val="77F3789A"/>
    <w:rsid w:val="77F70588"/>
    <w:rsid w:val="77F71324"/>
    <w:rsid w:val="78005A86"/>
    <w:rsid w:val="78011BF1"/>
    <w:rsid w:val="780326B9"/>
    <w:rsid w:val="780332E5"/>
    <w:rsid w:val="7804698A"/>
    <w:rsid w:val="7833711D"/>
    <w:rsid w:val="7834483F"/>
    <w:rsid w:val="78460D63"/>
    <w:rsid w:val="78497C2E"/>
    <w:rsid w:val="78502D35"/>
    <w:rsid w:val="7854087B"/>
    <w:rsid w:val="786A4053"/>
    <w:rsid w:val="78717849"/>
    <w:rsid w:val="78782A0D"/>
    <w:rsid w:val="78785A2F"/>
    <w:rsid w:val="787B5060"/>
    <w:rsid w:val="788720E7"/>
    <w:rsid w:val="78A90B04"/>
    <w:rsid w:val="78B0552C"/>
    <w:rsid w:val="78C34D95"/>
    <w:rsid w:val="78C53485"/>
    <w:rsid w:val="78C6693F"/>
    <w:rsid w:val="78C76A01"/>
    <w:rsid w:val="78C9386A"/>
    <w:rsid w:val="78DA30DC"/>
    <w:rsid w:val="78EB5FB1"/>
    <w:rsid w:val="78EC45D8"/>
    <w:rsid w:val="78EC6DF0"/>
    <w:rsid w:val="78F02AF8"/>
    <w:rsid w:val="78F5335B"/>
    <w:rsid w:val="78F554EB"/>
    <w:rsid w:val="78FF5EC9"/>
    <w:rsid w:val="791843E7"/>
    <w:rsid w:val="79233426"/>
    <w:rsid w:val="79260F03"/>
    <w:rsid w:val="792B77BF"/>
    <w:rsid w:val="792E73F2"/>
    <w:rsid w:val="79395A92"/>
    <w:rsid w:val="793C6522"/>
    <w:rsid w:val="794008FB"/>
    <w:rsid w:val="79412D41"/>
    <w:rsid w:val="794708D9"/>
    <w:rsid w:val="794B21A1"/>
    <w:rsid w:val="7964574A"/>
    <w:rsid w:val="79804706"/>
    <w:rsid w:val="79835FC2"/>
    <w:rsid w:val="79840597"/>
    <w:rsid w:val="79941CF2"/>
    <w:rsid w:val="79973382"/>
    <w:rsid w:val="79B4353E"/>
    <w:rsid w:val="79C07B43"/>
    <w:rsid w:val="79C81FFA"/>
    <w:rsid w:val="79C832AC"/>
    <w:rsid w:val="79D33056"/>
    <w:rsid w:val="79D715DF"/>
    <w:rsid w:val="79D85AB0"/>
    <w:rsid w:val="79E16F93"/>
    <w:rsid w:val="79E701E5"/>
    <w:rsid w:val="79EC0256"/>
    <w:rsid w:val="79F60153"/>
    <w:rsid w:val="79FB6E2C"/>
    <w:rsid w:val="79FF7B91"/>
    <w:rsid w:val="7A165123"/>
    <w:rsid w:val="7A36322F"/>
    <w:rsid w:val="7A431242"/>
    <w:rsid w:val="7A444657"/>
    <w:rsid w:val="7A4B3D21"/>
    <w:rsid w:val="7A4C2D60"/>
    <w:rsid w:val="7A5E0869"/>
    <w:rsid w:val="7A69432B"/>
    <w:rsid w:val="7A6E4BF5"/>
    <w:rsid w:val="7A6E5088"/>
    <w:rsid w:val="7A7F4A1E"/>
    <w:rsid w:val="7A8246BA"/>
    <w:rsid w:val="7A851D5D"/>
    <w:rsid w:val="7A8A2267"/>
    <w:rsid w:val="7AA07F3B"/>
    <w:rsid w:val="7AAD1C0F"/>
    <w:rsid w:val="7AAF4757"/>
    <w:rsid w:val="7AB53126"/>
    <w:rsid w:val="7AB76FE8"/>
    <w:rsid w:val="7AB8122B"/>
    <w:rsid w:val="7ACC526F"/>
    <w:rsid w:val="7AD268E2"/>
    <w:rsid w:val="7ADC0B33"/>
    <w:rsid w:val="7AE14C19"/>
    <w:rsid w:val="7AE53859"/>
    <w:rsid w:val="7AE727D9"/>
    <w:rsid w:val="7AEA174E"/>
    <w:rsid w:val="7B05641A"/>
    <w:rsid w:val="7B0B692F"/>
    <w:rsid w:val="7B274176"/>
    <w:rsid w:val="7B3057E4"/>
    <w:rsid w:val="7B306163"/>
    <w:rsid w:val="7B364C38"/>
    <w:rsid w:val="7B3E17AA"/>
    <w:rsid w:val="7B401C79"/>
    <w:rsid w:val="7B440ED6"/>
    <w:rsid w:val="7B4678D7"/>
    <w:rsid w:val="7B4B2A93"/>
    <w:rsid w:val="7B516F3E"/>
    <w:rsid w:val="7B527515"/>
    <w:rsid w:val="7B78553B"/>
    <w:rsid w:val="7B786809"/>
    <w:rsid w:val="7B7A004F"/>
    <w:rsid w:val="7B890A24"/>
    <w:rsid w:val="7B8A4A8A"/>
    <w:rsid w:val="7BAA485C"/>
    <w:rsid w:val="7BAD1591"/>
    <w:rsid w:val="7BCD64C2"/>
    <w:rsid w:val="7BD3716B"/>
    <w:rsid w:val="7BEC2711"/>
    <w:rsid w:val="7BF55850"/>
    <w:rsid w:val="7C1054B7"/>
    <w:rsid w:val="7C131E53"/>
    <w:rsid w:val="7C1A5E61"/>
    <w:rsid w:val="7C261982"/>
    <w:rsid w:val="7C26369C"/>
    <w:rsid w:val="7C2A465C"/>
    <w:rsid w:val="7C2E06D8"/>
    <w:rsid w:val="7C305879"/>
    <w:rsid w:val="7C34521A"/>
    <w:rsid w:val="7C4067F6"/>
    <w:rsid w:val="7C417F31"/>
    <w:rsid w:val="7C4674BA"/>
    <w:rsid w:val="7C4A2BD1"/>
    <w:rsid w:val="7C4C0053"/>
    <w:rsid w:val="7C576C70"/>
    <w:rsid w:val="7C6E4349"/>
    <w:rsid w:val="7C77043F"/>
    <w:rsid w:val="7C8A7CDC"/>
    <w:rsid w:val="7C9B5288"/>
    <w:rsid w:val="7C9E5A24"/>
    <w:rsid w:val="7CA745A1"/>
    <w:rsid w:val="7CAF4DCB"/>
    <w:rsid w:val="7CB4006B"/>
    <w:rsid w:val="7CB93ABB"/>
    <w:rsid w:val="7CC475DB"/>
    <w:rsid w:val="7CCA4C41"/>
    <w:rsid w:val="7CD36BD6"/>
    <w:rsid w:val="7CDE3831"/>
    <w:rsid w:val="7CE05980"/>
    <w:rsid w:val="7CE656F0"/>
    <w:rsid w:val="7CED34FF"/>
    <w:rsid w:val="7CEE5458"/>
    <w:rsid w:val="7CF26588"/>
    <w:rsid w:val="7CF565D7"/>
    <w:rsid w:val="7CF7605D"/>
    <w:rsid w:val="7CF867A7"/>
    <w:rsid w:val="7CFA3A46"/>
    <w:rsid w:val="7CFC78A1"/>
    <w:rsid w:val="7D0F5720"/>
    <w:rsid w:val="7D186F3E"/>
    <w:rsid w:val="7D24652E"/>
    <w:rsid w:val="7D2561FD"/>
    <w:rsid w:val="7D2E198F"/>
    <w:rsid w:val="7D342E03"/>
    <w:rsid w:val="7D355821"/>
    <w:rsid w:val="7D3B3737"/>
    <w:rsid w:val="7D3D73AF"/>
    <w:rsid w:val="7D3F6E5D"/>
    <w:rsid w:val="7D5052A6"/>
    <w:rsid w:val="7D514310"/>
    <w:rsid w:val="7D5B27C9"/>
    <w:rsid w:val="7D62117D"/>
    <w:rsid w:val="7D666258"/>
    <w:rsid w:val="7D6B7F02"/>
    <w:rsid w:val="7D834A16"/>
    <w:rsid w:val="7D9D0A97"/>
    <w:rsid w:val="7D9D438F"/>
    <w:rsid w:val="7DA514D2"/>
    <w:rsid w:val="7DAE6BE3"/>
    <w:rsid w:val="7DCD1A27"/>
    <w:rsid w:val="7DCD4EB5"/>
    <w:rsid w:val="7DDF20BC"/>
    <w:rsid w:val="7DE07962"/>
    <w:rsid w:val="7DE34955"/>
    <w:rsid w:val="7DFF1E31"/>
    <w:rsid w:val="7E0565CD"/>
    <w:rsid w:val="7E090313"/>
    <w:rsid w:val="7E097A5B"/>
    <w:rsid w:val="7E0A0A46"/>
    <w:rsid w:val="7E3E0FEC"/>
    <w:rsid w:val="7E3E1EF2"/>
    <w:rsid w:val="7E566EA2"/>
    <w:rsid w:val="7E5B15D2"/>
    <w:rsid w:val="7E5B76B4"/>
    <w:rsid w:val="7E5C1ABA"/>
    <w:rsid w:val="7E61281D"/>
    <w:rsid w:val="7E622778"/>
    <w:rsid w:val="7E726401"/>
    <w:rsid w:val="7E756346"/>
    <w:rsid w:val="7E7D055C"/>
    <w:rsid w:val="7E8104AE"/>
    <w:rsid w:val="7E85174A"/>
    <w:rsid w:val="7E8B68B9"/>
    <w:rsid w:val="7EA77314"/>
    <w:rsid w:val="7EAA7C26"/>
    <w:rsid w:val="7EAF1FAA"/>
    <w:rsid w:val="7EB4653A"/>
    <w:rsid w:val="7EBD44C4"/>
    <w:rsid w:val="7EC478B9"/>
    <w:rsid w:val="7ECA4601"/>
    <w:rsid w:val="7ECE7C95"/>
    <w:rsid w:val="7EDC22AD"/>
    <w:rsid w:val="7EDE4C34"/>
    <w:rsid w:val="7EE34086"/>
    <w:rsid w:val="7EE55F89"/>
    <w:rsid w:val="7EEB5719"/>
    <w:rsid w:val="7EF215E8"/>
    <w:rsid w:val="7EF525E1"/>
    <w:rsid w:val="7EF74FC9"/>
    <w:rsid w:val="7F000B6A"/>
    <w:rsid w:val="7F0178C5"/>
    <w:rsid w:val="7F022EBD"/>
    <w:rsid w:val="7F033852"/>
    <w:rsid w:val="7F0B5962"/>
    <w:rsid w:val="7F0C2035"/>
    <w:rsid w:val="7F0F0FAF"/>
    <w:rsid w:val="7F0F7992"/>
    <w:rsid w:val="7F1B0865"/>
    <w:rsid w:val="7F271AA3"/>
    <w:rsid w:val="7F354370"/>
    <w:rsid w:val="7F397345"/>
    <w:rsid w:val="7F4D1868"/>
    <w:rsid w:val="7F4D3BF2"/>
    <w:rsid w:val="7F542B37"/>
    <w:rsid w:val="7F57085D"/>
    <w:rsid w:val="7F6A77AB"/>
    <w:rsid w:val="7F6B2248"/>
    <w:rsid w:val="7F725E7C"/>
    <w:rsid w:val="7F761ADC"/>
    <w:rsid w:val="7F7D7A8E"/>
    <w:rsid w:val="7F872588"/>
    <w:rsid w:val="7F8725BA"/>
    <w:rsid w:val="7F8C6A8F"/>
    <w:rsid w:val="7F994DB5"/>
    <w:rsid w:val="7F9C175D"/>
    <w:rsid w:val="7F9F773D"/>
    <w:rsid w:val="7FA85877"/>
    <w:rsid w:val="7FAB3A81"/>
    <w:rsid w:val="7FCB6843"/>
    <w:rsid w:val="7FDC52B9"/>
    <w:rsid w:val="7FE653BC"/>
    <w:rsid w:val="7FEA5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5"/>
    <w:qFormat/>
    <w:uiPriority w:val="0"/>
    <w:pPr>
      <w:numPr>
        <w:ilvl w:val="1"/>
      </w:numPr>
      <w:pBdr>
        <w:top w:val="none" w:color="auto" w:sz="0" w:space="0"/>
      </w:pBdr>
      <w:spacing w:before="50" w:after="50" w:line="260" w:lineRule="auto"/>
      <w:ind w:left="0" w:right="0" w:rightChars="0"/>
      <w:outlineLvl w:val="1"/>
    </w:pPr>
    <w:rPr>
      <w:rFonts w:ascii="Times New Roman" w:hAnsi="Times New Roman" w:eastAsia="MS Mincho"/>
      <w:b/>
      <w:sz w:val="28"/>
    </w:rPr>
  </w:style>
  <w:style w:type="paragraph" w:styleId="4">
    <w:name w:val="heading 3"/>
    <w:basedOn w:val="3"/>
    <w:next w:val="1"/>
    <w:link w:val="54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3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5">
    <w:name w:val="Default Paragraph Font"/>
    <w:semiHidden/>
    <w:unhideWhenUsed/>
    <w:qFormat/>
    <w:uiPriority w:val="1"/>
  </w:style>
  <w:style w:type="table" w:default="1" w:styleId="2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1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2"/>
    <w:unhideWhenUsed/>
    <w:qFormat/>
    <w:uiPriority w:val="0"/>
    <w:pPr>
      <w:spacing w:before="120" w:after="120"/>
      <w:jc w:val="left"/>
    </w:pPr>
  </w:style>
  <w:style w:type="paragraph" w:styleId="12">
    <w:name w:val="List 2"/>
    <w:basedOn w:val="13"/>
    <w:qFormat/>
    <w:uiPriority w:val="0"/>
    <w:pPr>
      <w:numPr>
        <w:ilvl w:val="0"/>
        <w:numId w:val="2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3">
    <w:name w:val="List"/>
    <w:basedOn w:val="1"/>
    <w:qFormat/>
    <w:uiPriority w:val="0"/>
    <w:pPr>
      <w:ind w:left="568" w:hanging="284"/>
    </w:pPr>
  </w:style>
  <w:style w:type="paragraph" w:styleId="14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5">
    <w:name w:val="Balloon Text"/>
    <w:basedOn w:val="1"/>
    <w:link w:val="30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6">
    <w:name w:val="footer"/>
    <w:basedOn w:val="1"/>
    <w:link w:val="3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7">
    <w:name w:val="header"/>
    <w:basedOn w:val="1"/>
    <w:link w:val="38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8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9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20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1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2">
    <w:name w:val="annotation subject"/>
    <w:basedOn w:val="11"/>
    <w:next w:val="11"/>
    <w:link w:val="43"/>
    <w:semiHidden/>
    <w:unhideWhenUsed/>
    <w:qFormat/>
    <w:uiPriority w:val="99"/>
    <w:rPr>
      <w:b/>
      <w:bCs/>
    </w:rPr>
  </w:style>
  <w:style w:type="table" w:styleId="24">
    <w:name w:val="Table Grid"/>
    <w:basedOn w:val="23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6">
    <w:name w:val="Strong"/>
    <w:qFormat/>
    <w:uiPriority w:val="22"/>
    <w:rPr>
      <w:b/>
      <w:bCs/>
    </w:rPr>
  </w:style>
  <w:style w:type="character" w:styleId="27">
    <w:name w:val="Emphasis"/>
    <w:basedOn w:val="25"/>
    <w:qFormat/>
    <w:uiPriority w:val="20"/>
    <w:rPr>
      <w:i/>
    </w:rPr>
  </w:style>
  <w:style w:type="character" w:styleId="28">
    <w:name w:val="Hyperlink"/>
    <w:qFormat/>
    <w:uiPriority w:val="99"/>
    <w:rPr>
      <w:color w:val="0000FF"/>
      <w:u w:val="single"/>
    </w:rPr>
  </w:style>
  <w:style w:type="character" w:styleId="29">
    <w:name w:val="annotation reference"/>
    <w:basedOn w:val="25"/>
    <w:unhideWhenUsed/>
    <w:qFormat/>
    <w:uiPriority w:val="0"/>
    <w:rPr>
      <w:sz w:val="16"/>
      <w:szCs w:val="16"/>
    </w:rPr>
  </w:style>
  <w:style w:type="character" w:customStyle="1" w:styleId="30">
    <w:name w:val="批注框文本 Char"/>
    <w:basedOn w:val="25"/>
    <w:link w:val="15"/>
    <w:semiHidden/>
    <w:qFormat/>
    <w:uiPriority w:val="99"/>
    <w:rPr>
      <w:kern w:val="2"/>
      <w:sz w:val="18"/>
      <w:szCs w:val="18"/>
    </w:rPr>
  </w:style>
  <w:style w:type="paragraph" w:customStyle="1" w:styleId="31">
    <w:name w:val="YJ-Proposal"/>
    <w:basedOn w:val="1"/>
    <w:qFormat/>
    <w:uiPriority w:val="0"/>
    <w:pPr>
      <w:numPr>
        <w:ilvl w:val="0"/>
        <w:numId w:val="3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2">
    <w:name w:val="YJ-Observation"/>
    <w:basedOn w:val="31"/>
    <w:qFormat/>
    <w:uiPriority w:val="0"/>
    <w:pPr>
      <w:numPr>
        <w:ilvl w:val="0"/>
        <w:numId w:val="4"/>
      </w:numPr>
      <w:tabs>
        <w:tab w:val="left" w:pos="420"/>
      </w:tabs>
    </w:pPr>
  </w:style>
  <w:style w:type="paragraph" w:customStyle="1" w:styleId="33">
    <w:name w:val="References"/>
    <w:basedOn w:val="1"/>
    <w:qFormat/>
    <w:uiPriority w:val="0"/>
    <w:pPr>
      <w:numPr>
        <w:ilvl w:val="0"/>
        <w:numId w:val="5"/>
      </w:numPr>
      <w:spacing w:after="60"/>
    </w:pPr>
    <w:rPr>
      <w:szCs w:val="16"/>
    </w:rPr>
  </w:style>
  <w:style w:type="paragraph" w:styleId="34">
    <w:name w:val="List Paragraph"/>
    <w:basedOn w:val="1"/>
    <w:link w:val="68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5">
    <w:name w:val="sub-proposal"/>
    <w:basedOn w:val="31"/>
    <w:next w:val="1"/>
    <w:qFormat/>
    <w:uiPriority w:val="0"/>
    <w:pPr>
      <w:numPr>
        <w:numId w:val="6"/>
      </w:numPr>
      <w:tabs>
        <w:tab w:val="left" w:pos="807"/>
      </w:tabs>
    </w:pPr>
  </w:style>
  <w:style w:type="paragraph" w:customStyle="1" w:styleId="36">
    <w:name w:val="样式1"/>
    <w:basedOn w:val="1"/>
    <w:qFormat/>
    <w:uiPriority w:val="0"/>
  </w:style>
  <w:style w:type="paragraph" w:customStyle="1" w:styleId="37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8">
    <w:name w:val="页眉 Char"/>
    <w:basedOn w:val="25"/>
    <w:link w:val="17"/>
    <w:semiHidden/>
    <w:qFormat/>
    <w:uiPriority w:val="0"/>
    <w:rPr>
      <w:rFonts w:eastAsia="宋体"/>
      <w:kern w:val="2"/>
      <w:sz w:val="21"/>
    </w:rPr>
  </w:style>
  <w:style w:type="character" w:customStyle="1" w:styleId="39">
    <w:name w:val="页脚 Char"/>
    <w:basedOn w:val="25"/>
    <w:link w:val="16"/>
    <w:qFormat/>
    <w:uiPriority w:val="99"/>
    <w:rPr>
      <w:rFonts w:eastAsia="宋体"/>
      <w:kern w:val="2"/>
      <w:sz w:val="18"/>
      <w:szCs w:val="18"/>
    </w:rPr>
  </w:style>
  <w:style w:type="paragraph" w:customStyle="1" w:styleId="40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1">
    <w:name w:val="文档结构图 Char"/>
    <w:basedOn w:val="25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2">
    <w:name w:val="批注文字 Char"/>
    <w:basedOn w:val="25"/>
    <w:link w:val="11"/>
    <w:qFormat/>
    <w:uiPriority w:val="0"/>
    <w:rPr>
      <w:rFonts w:eastAsia="宋体"/>
      <w:kern w:val="2"/>
      <w:sz w:val="21"/>
    </w:rPr>
  </w:style>
  <w:style w:type="character" w:customStyle="1" w:styleId="43">
    <w:name w:val="批注主题 Char"/>
    <w:basedOn w:val="42"/>
    <w:link w:val="22"/>
    <w:qFormat/>
    <w:uiPriority w:val="0"/>
    <w:rPr>
      <w:rFonts w:eastAsia="宋体"/>
      <w:kern w:val="2"/>
      <w:sz w:val="21"/>
    </w:rPr>
  </w:style>
  <w:style w:type="paragraph" w:customStyle="1" w:styleId="44">
    <w:name w:val="subullet"/>
    <w:basedOn w:val="1"/>
    <w:qFormat/>
    <w:uiPriority w:val="0"/>
    <w:pPr>
      <w:numPr>
        <w:ilvl w:val="1"/>
        <w:numId w:val="3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subsub"/>
    <w:basedOn w:val="1"/>
    <w:qFormat/>
    <w:uiPriority w:val="0"/>
    <w:pPr>
      <w:numPr>
        <w:ilvl w:val="2"/>
        <w:numId w:val="3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6">
    <w:name w:val="3rd level proposal"/>
    <w:basedOn w:val="35"/>
    <w:next w:val="1"/>
    <w:qFormat/>
    <w:uiPriority w:val="0"/>
    <w:pPr>
      <w:numPr>
        <w:ilvl w:val="0"/>
        <w:numId w:val="7"/>
      </w:numPr>
      <w:ind w:left="1282" w:leftChars="400" w:hanging="442" w:hangingChars="200"/>
      <w:jc w:val="left"/>
    </w:pPr>
  </w:style>
  <w:style w:type="paragraph" w:customStyle="1" w:styleId="47">
    <w:name w:val="B1"/>
    <w:basedOn w:val="13"/>
    <w:link w:val="61"/>
    <w:qFormat/>
    <w:uiPriority w:val="0"/>
  </w:style>
  <w:style w:type="paragraph" w:customStyle="1" w:styleId="48">
    <w:name w:val="B3"/>
    <w:basedOn w:val="1"/>
    <w:qFormat/>
    <w:uiPriority w:val="0"/>
    <w:pPr>
      <w:ind w:left="1135" w:hanging="284"/>
    </w:pPr>
  </w:style>
  <w:style w:type="character" w:styleId="49">
    <w:name w:val="Placeholder Text"/>
    <w:basedOn w:val="25"/>
    <w:semiHidden/>
    <w:qFormat/>
    <w:uiPriority w:val="99"/>
    <w:rPr>
      <w:color w:val="808080"/>
    </w:rPr>
  </w:style>
  <w:style w:type="paragraph" w:customStyle="1" w:styleId="50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1">
    <w:name w:val="B2"/>
    <w:basedOn w:val="12"/>
    <w:qFormat/>
    <w:uiPriority w:val="0"/>
    <w:pPr>
      <w:ind w:left="851" w:hanging="284"/>
    </w:pPr>
    <w:rPr>
      <w:lang w:val="zh-CN"/>
    </w:rPr>
  </w:style>
  <w:style w:type="paragraph" w:customStyle="1" w:styleId="52">
    <w:name w:val="B4"/>
    <w:basedOn w:val="1"/>
    <w:qFormat/>
    <w:uiPriority w:val="0"/>
    <w:pPr>
      <w:ind w:left="1418" w:hanging="284"/>
    </w:pPr>
  </w:style>
  <w:style w:type="character" w:customStyle="1" w:styleId="53">
    <w:name w:val="标题 4 Char"/>
    <w:basedOn w:val="25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3 Char"/>
    <w:basedOn w:val="25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5">
    <w:name w:val="标题 2 Char"/>
    <w:basedOn w:val="25"/>
    <w:link w:val="3"/>
    <w:qFormat/>
    <w:uiPriority w:val="0"/>
    <w:rPr>
      <w:rFonts w:ascii="Times New Roman" w:hAnsi="Times New Roman" w:eastAsia="MS Mincho"/>
      <w:b/>
      <w:kern w:val="2"/>
      <w:sz w:val="28"/>
    </w:r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TAC"/>
    <w:basedOn w:val="58"/>
    <w:link w:val="66"/>
    <w:qFormat/>
    <w:uiPriority w:val="0"/>
    <w:pPr>
      <w:jc w:val="center"/>
    </w:pPr>
  </w:style>
  <w:style w:type="paragraph" w:customStyle="1" w:styleId="58">
    <w:name w:val="TAL"/>
    <w:basedOn w:val="1"/>
    <w:link w:val="67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9">
    <w:name w:val="B5"/>
    <w:basedOn w:val="1"/>
    <w:qFormat/>
    <w:uiPriority w:val="0"/>
    <w:pPr>
      <w:ind w:left="1702" w:hanging="284"/>
    </w:pPr>
  </w:style>
  <w:style w:type="character" w:customStyle="1" w:styleId="60">
    <w:name w:val="首标题"/>
    <w:qFormat/>
    <w:uiPriority w:val="0"/>
    <w:rPr>
      <w:rFonts w:ascii="Arial" w:hAnsi="Arial" w:eastAsia="宋体"/>
      <w:sz w:val="24"/>
    </w:rPr>
  </w:style>
  <w:style w:type="character" w:customStyle="1" w:styleId="61">
    <w:name w:val="B1 Char1"/>
    <w:link w:val="47"/>
    <w:qFormat/>
    <w:uiPriority w:val="0"/>
    <w:rPr>
      <w:kern w:val="2"/>
      <w:sz w:val="21"/>
    </w:rPr>
  </w:style>
  <w:style w:type="character" w:customStyle="1" w:styleId="62">
    <w:name w:val="NO Char"/>
    <w:link w:val="63"/>
    <w:qFormat/>
    <w:uiPriority w:val="0"/>
    <w:rPr>
      <w:lang w:val="en-GB" w:eastAsia="en-US"/>
    </w:rPr>
  </w:style>
  <w:style w:type="paragraph" w:customStyle="1" w:styleId="63">
    <w:name w:val="NO"/>
    <w:basedOn w:val="1"/>
    <w:link w:val="62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4">
    <w:name w:val="TAH Car"/>
    <w:link w:val="65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5">
    <w:name w:val="TAH"/>
    <w:basedOn w:val="57"/>
    <w:link w:val="64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6">
    <w:name w:val="TAC Char"/>
    <w:link w:val="57"/>
    <w:qFormat/>
    <w:locked/>
    <w:uiPriority w:val="0"/>
    <w:rPr>
      <w:rFonts w:ascii="Arial" w:hAnsi="Arial"/>
      <w:kern w:val="2"/>
      <w:sz w:val="18"/>
    </w:rPr>
  </w:style>
  <w:style w:type="character" w:customStyle="1" w:styleId="67">
    <w:name w:val="TAL Car"/>
    <w:link w:val="58"/>
    <w:qFormat/>
    <w:uiPriority w:val="0"/>
    <w:rPr>
      <w:rFonts w:ascii="Arial" w:hAnsi="Arial"/>
      <w:kern w:val="2"/>
      <w:sz w:val="18"/>
    </w:rPr>
  </w:style>
  <w:style w:type="character" w:customStyle="1" w:styleId="68">
    <w:name w:val="列出段落 Char"/>
    <w:link w:val="34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9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70">
    <w:name w:val="TAN"/>
    <w:basedOn w:val="58"/>
    <w:qFormat/>
    <w:uiPriority w:val="0"/>
    <w:pPr>
      <w:ind w:left="851" w:hanging="851"/>
    </w:pPr>
  </w:style>
  <w:style w:type="character" w:customStyle="1" w:styleId="71">
    <w:name w:val="font4"/>
    <w:basedOn w:val="25"/>
    <w:qFormat/>
    <w:uiPriority w:val="0"/>
  </w:style>
  <w:style w:type="paragraph" w:customStyle="1" w:styleId="72">
    <w:name w:val="样式 页眉"/>
    <w:basedOn w:val="17"/>
    <w:qFormat/>
    <w:uiPriority w:val="0"/>
    <w:rPr>
      <w:rFonts w:eastAsia="Arial"/>
      <w:bCs/>
      <w:sz w:val="22"/>
    </w:rPr>
  </w:style>
  <w:style w:type="paragraph" w:customStyle="1" w:styleId="73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4">
    <w:name w:val="font21"/>
    <w:basedOn w:val="25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5">
    <w:name w:val="font01"/>
    <w:basedOn w:val="25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6">
    <w:name w:val="font31"/>
    <w:basedOn w:val="25"/>
    <w:qFormat/>
    <w:uiPriority w:val="0"/>
    <w:rPr>
      <w:rFonts w:ascii="TimesNewRomanPS-ItalicMT" w:hAnsi="TimesNewRomanPS-ItalicMT" w:eastAsia="TimesNewRomanPS-ItalicMT" w:cs="TimesNewRomanPS-ItalicMT"/>
      <w:i/>
      <w:iCs/>
      <w:color w:val="000000"/>
      <w:sz w:val="22"/>
      <w:szCs w:val="22"/>
      <w:u w:val="none"/>
    </w:rPr>
  </w:style>
  <w:style w:type="character" w:customStyle="1" w:styleId="77">
    <w:name w:val="font41"/>
    <w:basedOn w:val="25"/>
    <w:qFormat/>
    <w:uiPriority w:val="0"/>
    <w:rPr>
      <w:rFonts w:hint="default" w:ascii="TimesNewRomanPS-ItalicMT" w:hAnsi="TimesNewRomanPS-ItalicMT" w:eastAsia="TimesNewRomanPS-ItalicMT" w:cs="TimesNewRomanPS-ItalicMT"/>
      <w:i/>
      <w:iCs/>
      <w:color w:val="000000"/>
      <w:sz w:val="18"/>
      <w:szCs w:val="18"/>
      <w:u w:val="none"/>
    </w:rPr>
  </w:style>
  <w:style w:type="character" w:customStyle="1" w:styleId="78">
    <w:name w:val="font11"/>
    <w:basedOn w:val="25"/>
    <w:qFormat/>
    <w:uiPriority w:val="0"/>
    <w:rPr>
      <w:rFonts w:ascii="Symbol" w:hAnsi="Symbol" w:cs="Symbol"/>
      <w:color w:val="000000"/>
      <w:sz w:val="24"/>
      <w:szCs w:val="24"/>
      <w:u w:val="none"/>
    </w:rPr>
  </w:style>
  <w:style w:type="table" w:customStyle="1" w:styleId="79">
    <w:name w:val="_Style 93"/>
    <w:basedOn w:val="23"/>
    <w:qFormat/>
    <w:uiPriority w:val="0"/>
    <w:tblPr>
      <w:tblCellMar>
        <w:left w:w="115" w:type="dxa"/>
        <w:right w:w="115" w:type="dxa"/>
      </w:tblCellMar>
    </w:tblPr>
  </w:style>
  <w:style w:type="paragraph" w:customStyle="1" w:styleId="80">
    <w:name w:val="TAR"/>
    <w:basedOn w:val="58"/>
    <w:qFormat/>
    <w:uiPriority w:val="0"/>
    <w:pPr>
      <w:jc w:val="right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numbering" Target="numbering.xml"/><Relationship Id="rId12" Type="http://schemas.openxmlformats.org/officeDocument/2006/relationships/image" Target="media/image1.png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4</Pages>
  <Words>1113</Words>
  <Characters>6348</Characters>
  <Lines>52</Lines>
  <Paragraphs>14</Paragraphs>
  <TotalTime>0</TotalTime>
  <ScaleCrop>false</ScaleCrop>
  <LinksUpToDate>false</LinksUpToDate>
  <CharactersWithSpaces>7447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ZTE, Li Lu</cp:lastModifiedBy>
  <dcterms:modified xsi:type="dcterms:W3CDTF">2024-08-09T07:56:25Z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2C76AEB552B54F80A12B88DD3D57EA5C</vt:lpwstr>
  </property>
</Properties>
</file>